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57" w:rsidRPr="002B4866" w:rsidRDefault="002F2F57" w:rsidP="002D0F24">
      <w:pPr>
        <w:jc w:val="center"/>
        <w:rPr>
          <w:rFonts w:asciiTheme="majorHAnsi" w:hAnsiTheme="majorHAnsi"/>
          <w:b/>
          <w:sz w:val="28"/>
          <w:szCs w:val="28"/>
        </w:rPr>
      </w:pPr>
      <w:r w:rsidRPr="002B4866">
        <w:rPr>
          <w:rFonts w:asciiTheme="majorHAnsi" w:hAnsiTheme="majorHAnsi"/>
          <w:b/>
          <w:sz w:val="28"/>
          <w:szCs w:val="28"/>
        </w:rPr>
        <w:t>Fiscal Year 2016 Patient</w:t>
      </w:r>
      <w:r w:rsidR="004605B3" w:rsidRPr="002B4866">
        <w:rPr>
          <w:rFonts w:asciiTheme="majorHAnsi" w:hAnsiTheme="majorHAnsi"/>
          <w:b/>
          <w:sz w:val="28"/>
          <w:szCs w:val="28"/>
        </w:rPr>
        <w:t>-</w:t>
      </w:r>
      <w:r w:rsidRPr="002B4866">
        <w:rPr>
          <w:rFonts w:asciiTheme="majorHAnsi" w:hAnsiTheme="majorHAnsi"/>
          <w:b/>
          <w:sz w:val="28"/>
          <w:szCs w:val="28"/>
        </w:rPr>
        <w:t xml:space="preserve">Centered Medical Home </w:t>
      </w:r>
    </w:p>
    <w:p w:rsidR="002F2F57" w:rsidRPr="002B4866" w:rsidRDefault="002F2F57" w:rsidP="002D0F24">
      <w:pPr>
        <w:jc w:val="center"/>
        <w:rPr>
          <w:rFonts w:asciiTheme="majorHAnsi" w:hAnsiTheme="majorHAnsi"/>
          <w:b/>
          <w:sz w:val="28"/>
          <w:szCs w:val="28"/>
        </w:rPr>
      </w:pPr>
      <w:r w:rsidRPr="002B4866">
        <w:rPr>
          <w:rFonts w:asciiTheme="majorHAnsi" w:hAnsiTheme="majorHAnsi"/>
          <w:b/>
          <w:sz w:val="28"/>
          <w:szCs w:val="28"/>
        </w:rPr>
        <w:t>Supplemental Funding Opportunity</w:t>
      </w:r>
    </w:p>
    <w:p w:rsidR="00480DAA" w:rsidRDefault="00480DAA" w:rsidP="002D0F24">
      <w:pPr>
        <w:jc w:val="center"/>
        <w:rPr>
          <w:rFonts w:asciiTheme="majorHAnsi" w:hAnsiTheme="majorHAnsi"/>
          <w:b/>
          <w:sz w:val="28"/>
          <w:szCs w:val="28"/>
        </w:rPr>
      </w:pPr>
      <w:r w:rsidRPr="00480DAA">
        <w:rPr>
          <w:rFonts w:asciiTheme="majorHAnsi" w:hAnsiTheme="majorHAnsi"/>
          <w:b/>
          <w:sz w:val="28"/>
          <w:szCs w:val="28"/>
        </w:rPr>
        <w:t>HRSA-16-183</w:t>
      </w:r>
      <w:r w:rsidRPr="00480DAA" w:rsidDel="00480DAA">
        <w:rPr>
          <w:rFonts w:asciiTheme="majorHAnsi" w:hAnsiTheme="majorHAnsi"/>
          <w:b/>
          <w:sz w:val="28"/>
          <w:szCs w:val="28"/>
        </w:rPr>
        <w:t xml:space="preserve"> </w:t>
      </w:r>
    </w:p>
    <w:p w:rsidR="002F2F57" w:rsidRPr="002B4866" w:rsidRDefault="002F2F57" w:rsidP="002D0F24">
      <w:pPr>
        <w:jc w:val="center"/>
        <w:rPr>
          <w:rFonts w:asciiTheme="majorHAnsi" w:hAnsiTheme="majorHAnsi"/>
          <w:b/>
          <w:sz w:val="28"/>
          <w:szCs w:val="28"/>
        </w:rPr>
      </w:pPr>
      <w:r w:rsidRPr="002B4866">
        <w:rPr>
          <w:rFonts w:asciiTheme="majorHAnsi" w:hAnsiTheme="majorHAnsi"/>
          <w:b/>
          <w:sz w:val="28"/>
          <w:szCs w:val="28"/>
        </w:rPr>
        <w:t>CFDA# 93.527</w:t>
      </w:r>
    </w:p>
    <w:p w:rsidR="002F2F57" w:rsidRPr="002B4866" w:rsidRDefault="002F2F57" w:rsidP="002D0F24">
      <w:pPr>
        <w:jc w:val="center"/>
        <w:rPr>
          <w:rFonts w:asciiTheme="majorHAnsi" w:hAnsiTheme="majorHAnsi"/>
          <w:sz w:val="26"/>
          <w:szCs w:val="26"/>
        </w:rPr>
      </w:pPr>
      <w:r w:rsidRPr="002B4866">
        <w:rPr>
          <w:rFonts w:asciiTheme="majorHAnsi" w:hAnsiTheme="majorHAnsi"/>
          <w:sz w:val="26"/>
          <w:szCs w:val="26"/>
        </w:rPr>
        <w:t xml:space="preserve">EHB Application Access Date: </w:t>
      </w:r>
      <w:r w:rsidR="00EB4980">
        <w:rPr>
          <w:rFonts w:asciiTheme="majorHAnsi" w:hAnsiTheme="majorHAnsi"/>
          <w:sz w:val="26"/>
          <w:szCs w:val="26"/>
        </w:rPr>
        <w:t>May 2</w:t>
      </w:r>
      <w:r w:rsidR="00A11542">
        <w:rPr>
          <w:rFonts w:asciiTheme="majorHAnsi" w:hAnsiTheme="majorHAnsi"/>
          <w:sz w:val="26"/>
          <w:szCs w:val="26"/>
        </w:rPr>
        <w:t>, 2016</w:t>
      </w:r>
    </w:p>
    <w:p w:rsidR="002F2F57" w:rsidRPr="002B4866" w:rsidRDefault="002F2F57" w:rsidP="002D0F24">
      <w:pPr>
        <w:jc w:val="center"/>
        <w:rPr>
          <w:rFonts w:asciiTheme="majorHAnsi" w:hAnsiTheme="majorHAnsi"/>
          <w:sz w:val="26"/>
          <w:szCs w:val="26"/>
        </w:rPr>
      </w:pPr>
      <w:r w:rsidRPr="002B4866">
        <w:rPr>
          <w:rFonts w:asciiTheme="majorHAnsi" w:hAnsiTheme="majorHAnsi"/>
          <w:sz w:val="26"/>
          <w:szCs w:val="26"/>
        </w:rPr>
        <w:t xml:space="preserve">Application Due Date: </w:t>
      </w:r>
      <w:r w:rsidR="00A11542">
        <w:rPr>
          <w:rFonts w:asciiTheme="majorHAnsi" w:hAnsiTheme="majorHAnsi"/>
          <w:sz w:val="26"/>
          <w:szCs w:val="26"/>
        </w:rPr>
        <w:t xml:space="preserve">May </w:t>
      </w:r>
      <w:r w:rsidR="00101E25">
        <w:rPr>
          <w:rFonts w:asciiTheme="majorHAnsi" w:hAnsiTheme="majorHAnsi"/>
          <w:sz w:val="26"/>
          <w:szCs w:val="26"/>
        </w:rPr>
        <w:t>31</w:t>
      </w:r>
      <w:r w:rsidR="00A11542">
        <w:rPr>
          <w:rFonts w:asciiTheme="majorHAnsi" w:hAnsiTheme="majorHAnsi"/>
          <w:sz w:val="26"/>
          <w:szCs w:val="26"/>
        </w:rPr>
        <w:t>, 2016</w:t>
      </w:r>
    </w:p>
    <w:p w:rsidR="00A734E3" w:rsidRPr="002B4866" w:rsidRDefault="00A734E3" w:rsidP="002D0F24">
      <w:pPr>
        <w:rPr>
          <w:rFonts w:asciiTheme="majorHAnsi" w:hAnsiTheme="majorHAnsi"/>
        </w:rPr>
      </w:pPr>
    </w:p>
    <w:sdt>
      <w:sdtPr>
        <w:rPr>
          <w:rFonts w:asciiTheme="minorHAnsi" w:eastAsiaTheme="minorHAnsi" w:hAnsiTheme="minorHAnsi" w:cstheme="minorBidi"/>
          <w:b w:val="0"/>
          <w:bCs w:val="0"/>
          <w:color w:val="auto"/>
          <w:sz w:val="24"/>
          <w:szCs w:val="24"/>
          <w:lang w:eastAsia="en-US"/>
        </w:rPr>
        <w:id w:val="1704822495"/>
        <w:docPartObj>
          <w:docPartGallery w:val="Table of Contents"/>
          <w:docPartUnique/>
        </w:docPartObj>
      </w:sdtPr>
      <w:sdtEndPr>
        <w:rPr>
          <w:noProof/>
        </w:rPr>
      </w:sdtEndPr>
      <w:sdtContent>
        <w:p w:rsidR="003C34AF" w:rsidRPr="00B5534D" w:rsidRDefault="003C34AF" w:rsidP="002D0F24">
          <w:pPr>
            <w:pStyle w:val="TOCHeading"/>
            <w:rPr>
              <w:sz w:val="24"/>
              <w:szCs w:val="24"/>
            </w:rPr>
          </w:pPr>
          <w:r w:rsidRPr="00B5534D">
            <w:rPr>
              <w:sz w:val="24"/>
              <w:szCs w:val="24"/>
            </w:rPr>
            <w:t>Table of Contents</w:t>
          </w:r>
        </w:p>
        <w:p w:rsidR="00C43E85" w:rsidRPr="00C43E85" w:rsidRDefault="003C34AF">
          <w:pPr>
            <w:pStyle w:val="TOC1"/>
            <w:tabs>
              <w:tab w:val="right" w:leader="dot" w:pos="9350"/>
            </w:tabs>
            <w:rPr>
              <w:rFonts w:asciiTheme="majorHAnsi" w:eastAsiaTheme="minorEastAsia" w:hAnsiTheme="majorHAnsi"/>
              <w:noProof/>
              <w:sz w:val="22"/>
              <w:szCs w:val="22"/>
            </w:rPr>
          </w:pPr>
          <w:r w:rsidRPr="00C43E85">
            <w:rPr>
              <w:rFonts w:asciiTheme="majorHAnsi" w:hAnsiTheme="majorHAnsi"/>
            </w:rPr>
            <w:fldChar w:fldCharType="begin"/>
          </w:r>
          <w:r w:rsidRPr="00C43E85">
            <w:rPr>
              <w:rFonts w:asciiTheme="majorHAnsi" w:hAnsiTheme="majorHAnsi"/>
            </w:rPr>
            <w:instrText xml:space="preserve"> TOC \o "1-3" \h \z \u </w:instrText>
          </w:r>
          <w:r w:rsidRPr="00C43E85">
            <w:rPr>
              <w:rFonts w:asciiTheme="majorHAnsi" w:hAnsiTheme="majorHAnsi"/>
            </w:rPr>
            <w:fldChar w:fldCharType="separate"/>
          </w:r>
          <w:hyperlink w:anchor="_Toc449951367" w:history="1">
            <w:r w:rsidR="00C43E85" w:rsidRPr="00C43E85">
              <w:rPr>
                <w:rStyle w:val="Hyperlink"/>
                <w:rFonts w:asciiTheme="majorHAnsi" w:hAnsiTheme="majorHAnsi"/>
                <w:noProof/>
              </w:rPr>
              <w:t>Purpose</w:t>
            </w:r>
            <w:r w:rsidR="00C43E85" w:rsidRPr="00C43E85">
              <w:rPr>
                <w:rFonts w:asciiTheme="majorHAnsi" w:hAnsiTheme="majorHAnsi"/>
                <w:noProof/>
                <w:webHidden/>
              </w:rPr>
              <w:tab/>
            </w:r>
            <w:r w:rsidR="00C43E85" w:rsidRPr="00C43E85">
              <w:rPr>
                <w:rFonts w:asciiTheme="majorHAnsi" w:hAnsiTheme="majorHAnsi"/>
                <w:noProof/>
                <w:webHidden/>
              </w:rPr>
              <w:fldChar w:fldCharType="begin"/>
            </w:r>
            <w:r w:rsidR="00C43E85" w:rsidRPr="00C43E85">
              <w:rPr>
                <w:rFonts w:asciiTheme="majorHAnsi" w:hAnsiTheme="majorHAnsi"/>
                <w:noProof/>
                <w:webHidden/>
              </w:rPr>
              <w:instrText xml:space="preserve"> PAGEREF _Toc449951367 \h </w:instrText>
            </w:r>
            <w:r w:rsidR="00C43E85" w:rsidRPr="00C43E85">
              <w:rPr>
                <w:rFonts w:asciiTheme="majorHAnsi" w:hAnsiTheme="majorHAnsi"/>
                <w:noProof/>
                <w:webHidden/>
              </w:rPr>
            </w:r>
            <w:r w:rsidR="00C43E85" w:rsidRPr="00C43E85">
              <w:rPr>
                <w:rFonts w:asciiTheme="majorHAnsi" w:hAnsiTheme="majorHAnsi"/>
                <w:noProof/>
                <w:webHidden/>
              </w:rPr>
              <w:fldChar w:fldCharType="separate"/>
            </w:r>
            <w:r w:rsidR="00C43E85" w:rsidRPr="00C43E85">
              <w:rPr>
                <w:rFonts w:asciiTheme="majorHAnsi" w:hAnsiTheme="majorHAnsi"/>
                <w:noProof/>
                <w:webHidden/>
              </w:rPr>
              <w:t>2</w:t>
            </w:r>
            <w:r w:rsidR="00C43E85" w:rsidRPr="00C43E85">
              <w:rPr>
                <w:rFonts w:asciiTheme="majorHAnsi" w:hAnsiTheme="majorHAnsi"/>
                <w:noProof/>
                <w:webHidden/>
              </w:rPr>
              <w:fldChar w:fldCharType="end"/>
            </w:r>
          </w:hyperlink>
        </w:p>
        <w:p w:rsidR="00C43E85" w:rsidRPr="00C43E85" w:rsidRDefault="00C43E85">
          <w:pPr>
            <w:pStyle w:val="TOC1"/>
            <w:tabs>
              <w:tab w:val="right" w:leader="dot" w:pos="9350"/>
            </w:tabs>
            <w:rPr>
              <w:rFonts w:asciiTheme="majorHAnsi" w:eastAsiaTheme="minorEastAsia" w:hAnsiTheme="majorHAnsi"/>
              <w:noProof/>
              <w:sz w:val="22"/>
              <w:szCs w:val="22"/>
            </w:rPr>
          </w:pPr>
          <w:hyperlink w:anchor="_Toc449951368" w:history="1">
            <w:r w:rsidRPr="00C43E85">
              <w:rPr>
                <w:rStyle w:val="Hyperlink"/>
                <w:rFonts w:asciiTheme="majorHAnsi" w:hAnsiTheme="majorHAnsi"/>
                <w:noProof/>
              </w:rPr>
              <w:t>Background</w:t>
            </w:r>
            <w:r w:rsidRPr="00C43E85">
              <w:rPr>
                <w:rFonts w:asciiTheme="majorHAnsi" w:hAnsiTheme="majorHAnsi"/>
                <w:noProof/>
                <w:webHidden/>
              </w:rPr>
              <w:tab/>
            </w:r>
            <w:r w:rsidRPr="00C43E85">
              <w:rPr>
                <w:rFonts w:asciiTheme="majorHAnsi" w:hAnsiTheme="majorHAnsi"/>
                <w:noProof/>
                <w:webHidden/>
              </w:rPr>
              <w:fldChar w:fldCharType="begin"/>
            </w:r>
            <w:r w:rsidRPr="00C43E85">
              <w:rPr>
                <w:rFonts w:asciiTheme="majorHAnsi" w:hAnsiTheme="majorHAnsi"/>
                <w:noProof/>
                <w:webHidden/>
              </w:rPr>
              <w:instrText xml:space="preserve"> PAGEREF _Toc449951368 \h </w:instrText>
            </w:r>
            <w:r w:rsidRPr="00C43E85">
              <w:rPr>
                <w:rFonts w:asciiTheme="majorHAnsi" w:hAnsiTheme="majorHAnsi"/>
                <w:noProof/>
                <w:webHidden/>
              </w:rPr>
            </w:r>
            <w:r w:rsidRPr="00C43E85">
              <w:rPr>
                <w:rFonts w:asciiTheme="majorHAnsi" w:hAnsiTheme="majorHAnsi"/>
                <w:noProof/>
                <w:webHidden/>
              </w:rPr>
              <w:fldChar w:fldCharType="separate"/>
            </w:r>
            <w:r w:rsidRPr="00C43E85">
              <w:rPr>
                <w:rFonts w:asciiTheme="majorHAnsi" w:hAnsiTheme="majorHAnsi"/>
                <w:noProof/>
                <w:webHidden/>
              </w:rPr>
              <w:t>2</w:t>
            </w:r>
            <w:r w:rsidRPr="00C43E85">
              <w:rPr>
                <w:rFonts w:asciiTheme="majorHAnsi" w:hAnsiTheme="majorHAnsi"/>
                <w:noProof/>
                <w:webHidden/>
              </w:rPr>
              <w:fldChar w:fldCharType="end"/>
            </w:r>
          </w:hyperlink>
        </w:p>
        <w:p w:rsidR="00C43E85" w:rsidRPr="00C43E85" w:rsidRDefault="00C43E85">
          <w:pPr>
            <w:pStyle w:val="TOC1"/>
            <w:tabs>
              <w:tab w:val="right" w:leader="dot" w:pos="9350"/>
            </w:tabs>
            <w:rPr>
              <w:rFonts w:asciiTheme="majorHAnsi" w:eastAsiaTheme="minorEastAsia" w:hAnsiTheme="majorHAnsi"/>
              <w:noProof/>
              <w:sz w:val="22"/>
              <w:szCs w:val="22"/>
            </w:rPr>
          </w:pPr>
          <w:hyperlink w:anchor="_Toc449951369" w:history="1">
            <w:r w:rsidRPr="00C43E85">
              <w:rPr>
                <w:rStyle w:val="Hyperlink"/>
                <w:rFonts w:asciiTheme="majorHAnsi" w:hAnsiTheme="majorHAnsi"/>
                <w:noProof/>
              </w:rPr>
              <w:t>Eligible Applicants</w:t>
            </w:r>
            <w:r w:rsidRPr="00C43E85">
              <w:rPr>
                <w:rFonts w:asciiTheme="majorHAnsi" w:hAnsiTheme="majorHAnsi"/>
                <w:noProof/>
                <w:webHidden/>
              </w:rPr>
              <w:tab/>
            </w:r>
            <w:r w:rsidRPr="00C43E85">
              <w:rPr>
                <w:rFonts w:asciiTheme="majorHAnsi" w:hAnsiTheme="majorHAnsi"/>
                <w:noProof/>
                <w:webHidden/>
              </w:rPr>
              <w:fldChar w:fldCharType="begin"/>
            </w:r>
            <w:r w:rsidRPr="00C43E85">
              <w:rPr>
                <w:rFonts w:asciiTheme="majorHAnsi" w:hAnsiTheme="majorHAnsi"/>
                <w:noProof/>
                <w:webHidden/>
              </w:rPr>
              <w:instrText xml:space="preserve"> PAGEREF _Toc449951369 \h </w:instrText>
            </w:r>
            <w:r w:rsidRPr="00C43E85">
              <w:rPr>
                <w:rFonts w:asciiTheme="majorHAnsi" w:hAnsiTheme="majorHAnsi"/>
                <w:noProof/>
                <w:webHidden/>
              </w:rPr>
            </w:r>
            <w:r w:rsidRPr="00C43E85">
              <w:rPr>
                <w:rFonts w:asciiTheme="majorHAnsi" w:hAnsiTheme="majorHAnsi"/>
                <w:noProof/>
                <w:webHidden/>
              </w:rPr>
              <w:fldChar w:fldCharType="separate"/>
            </w:r>
            <w:r w:rsidRPr="00C43E85">
              <w:rPr>
                <w:rFonts w:asciiTheme="majorHAnsi" w:hAnsiTheme="majorHAnsi"/>
                <w:noProof/>
                <w:webHidden/>
              </w:rPr>
              <w:t>3</w:t>
            </w:r>
            <w:r w:rsidRPr="00C43E85">
              <w:rPr>
                <w:rFonts w:asciiTheme="majorHAnsi" w:hAnsiTheme="majorHAnsi"/>
                <w:noProof/>
                <w:webHidden/>
              </w:rPr>
              <w:fldChar w:fldCharType="end"/>
            </w:r>
          </w:hyperlink>
        </w:p>
        <w:p w:rsidR="00C43E85" w:rsidRPr="00C43E85" w:rsidRDefault="00C43E85">
          <w:pPr>
            <w:pStyle w:val="TOC1"/>
            <w:tabs>
              <w:tab w:val="right" w:leader="dot" w:pos="9350"/>
            </w:tabs>
            <w:rPr>
              <w:rFonts w:asciiTheme="majorHAnsi" w:eastAsiaTheme="minorEastAsia" w:hAnsiTheme="majorHAnsi"/>
              <w:noProof/>
              <w:sz w:val="22"/>
              <w:szCs w:val="22"/>
            </w:rPr>
          </w:pPr>
          <w:hyperlink w:anchor="_Toc449951370" w:history="1">
            <w:r w:rsidRPr="00C43E85">
              <w:rPr>
                <w:rStyle w:val="Hyperlink"/>
                <w:rFonts w:asciiTheme="majorHAnsi" w:hAnsiTheme="majorHAnsi"/>
                <w:noProof/>
              </w:rPr>
              <w:t>Summary of Funding</w:t>
            </w:r>
            <w:r w:rsidRPr="00C43E85">
              <w:rPr>
                <w:rFonts w:asciiTheme="majorHAnsi" w:hAnsiTheme="majorHAnsi"/>
                <w:noProof/>
                <w:webHidden/>
              </w:rPr>
              <w:tab/>
            </w:r>
            <w:r w:rsidRPr="00C43E85">
              <w:rPr>
                <w:rFonts w:asciiTheme="majorHAnsi" w:hAnsiTheme="majorHAnsi"/>
                <w:noProof/>
                <w:webHidden/>
              </w:rPr>
              <w:fldChar w:fldCharType="begin"/>
            </w:r>
            <w:r w:rsidRPr="00C43E85">
              <w:rPr>
                <w:rFonts w:asciiTheme="majorHAnsi" w:hAnsiTheme="majorHAnsi"/>
                <w:noProof/>
                <w:webHidden/>
              </w:rPr>
              <w:instrText xml:space="preserve"> PAGEREF _Toc449951370 \h </w:instrText>
            </w:r>
            <w:r w:rsidRPr="00C43E85">
              <w:rPr>
                <w:rFonts w:asciiTheme="majorHAnsi" w:hAnsiTheme="majorHAnsi"/>
                <w:noProof/>
                <w:webHidden/>
              </w:rPr>
            </w:r>
            <w:r w:rsidRPr="00C43E85">
              <w:rPr>
                <w:rFonts w:asciiTheme="majorHAnsi" w:hAnsiTheme="majorHAnsi"/>
                <w:noProof/>
                <w:webHidden/>
              </w:rPr>
              <w:fldChar w:fldCharType="separate"/>
            </w:r>
            <w:r w:rsidRPr="00C43E85">
              <w:rPr>
                <w:rFonts w:asciiTheme="majorHAnsi" w:hAnsiTheme="majorHAnsi"/>
                <w:noProof/>
                <w:webHidden/>
              </w:rPr>
              <w:t>3</w:t>
            </w:r>
            <w:r w:rsidRPr="00C43E85">
              <w:rPr>
                <w:rFonts w:asciiTheme="majorHAnsi" w:hAnsiTheme="majorHAnsi"/>
                <w:noProof/>
                <w:webHidden/>
              </w:rPr>
              <w:fldChar w:fldCharType="end"/>
            </w:r>
          </w:hyperlink>
        </w:p>
        <w:p w:rsidR="00C43E85" w:rsidRPr="00C43E85" w:rsidRDefault="00C43E85">
          <w:pPr>
            <w:pStyle w:val="TOC1"/>
            <w:tabs>
              <w:tab w:val="right" w:leader="dot" w:pos="9350"/>
            </w:tabs>
            <w:rPr>
              <w:rFonts w:asciiTheme="majorHAnsi" w:eastAsiaTheme="minorEastAsia" w:hAnsiTheme="majorHAnsi"/>
              <w:noProof/>
              <w:sz w:val="22"/>
              <w:szCs w:val="22"/>
            </w:rPr>
          </w:pPr>
          <w:hyperlink w:anchor="_Toc449951371" w:history="1">
            <w:r w:rsidRPr="00C43E85">
              <w:rPr>
                <w:rStyle w:val="Hyperlink"/>
                <w:rFonts w:asciiTheme="majorHAnsi" w:hAnsiTheme="majorHAnsi"/>
                <w:noProof/>
              </w:rPr>
              <w:t>Requirements</w:t>
            </w:r>
            <w:r w:rsidRPr="00C43E85">
              <w:rPr>
                <w:rFonts w:asciiTheme="majorHAnsi" w:hAnsiTheme="majorHAnsi"/>
                <w:noProof/>
                <w:webHidden/>
              </w:rPr>
              <w:tab/>
            </w:r>
            <w:r w:rsidRPr="00C43E85">
              <w:rPr>
                <w:rFonts w:asciiTheme="majorHAnsi" w:hAnsiTheme="majorHAnsi"/>
                <w:noProof/>
                <w:webHidden/>
              </w:rPr>
              <w:fldChar w:fldCharType="begin"/>
            </w:r>
            <w:r w:rsidRPr="00C43E85">
              <w:rPr>
                <w:rFonts w:asciiTheme="majorHAnsi" w:hAnsiTheme="majorHAnsi"/>
                <w:noProof/>
                <w:webHidden/>
              </w:rPr>
              <w:instrText xml:space="preserve"> PAGEREF _Toc449951371 \h </w:instrText>
            </w:r>
            <w:r w:rsidRPr="00C43E85">
              <w:rPr>
                <w:rFonts w:asciiTheme="majorHAnsi" w:hAnsiTheme="majorHAnsi"/>
                <w:noProof/>
                <w:webHidden/>
              </w:rPr>
            </w:r>
            <w:r w:rsidRPr="00C43E85">
              <w:rPr>
                <w:rFonts w:asciiTheme="majorHAnsi" w:hAnsiTheme="majorHAnsi"/>
                <w:noProof/>
                <w:webHidden/>
              </w:rPr>
              <w:fldChar w:fldCharType="separate"/>
            </w:r>
            <w:r w:rsidRPr="00C43E85">
              <w:rPr>
                <w:rFonts w:asciiTheme="majorHAnsi" w:hAnsiTheme="majorHAnsi"/>
                <w:noProof/>
                <w:webHidden/>
              </w:rPr>
              <w:t>3</w:t>
            </w:r>
            <w:r w:rsidRPr="00C43E85">
              <w:rPr>
                <w:rFonts w:asciiTheme="majorHAnsi" w:hAnsiTheme="majorHAnsi"/>
                <w:noProof/>
                <w:webHidden/>
              </w:rPr>
              <w:fldChar w:fldCharType="end"/>
            </w:r>
          </w:hyperlink>
        </w:p>
        <w:p w:rsidR="00C43E85" w:rsidRPr="00C43E85" w:rsidRDefault="00C43E85">
          <w:pPr>
            <w:pStyle w:val="TOC1"/>
            <w:tabs>
              <w:tab w:val="right" w:leader="dot" w:pos="9350"/>
            </w:tabs>
            <w:rPr>
              <w:rFonts w:asciiTheme="majorHAnsi" w:eastAsiaTheme="minorEastAsia" w:hAnsiTheme="majorHAnsi"/>
              <w:noProof/>
              <w:sz w:val="22"/>
              <w:szCs w:val="22"/>
            </w:rPr>
          </w:pPr>
          <w:hyperlink w:anchor="_Toc449951372" w:history="1">
            <w:r w:rsidRPr="00C43E85">
              <w:rPr>
                <w:rStyle w:val="Hyperlink"/>
                <w:rFonts w:asciiTheme="majorHAnsi" w:hAnsiTheme="majorHAnsi"/>
                <w:noProof/>
              </w:rPr>
              <w:t>Ineligible Activities</w:t>
            </w:r>
            <w:r w:rsidRPr="00C43E85">
              <w:rPr>
                <w:rFonts w:asciiTheme="majorHAnsi" w:hAnsiTheme="majorHAnsi"/>
                <w:noProof/>
                <w:webHidden/>
              </w:rPr>
              <w:tab/>
            </w:r>
            <w:r w:rsidRPr="00C43E85">
              <w:rPr>
                <w:rFonts w:asciiTheme="majorHAnsi" w:hAnsiTheme="majorHAnsi"/>
                <w:noProof/>
                <w:webHidden/>
              </w:rPr>
              <w:fldChar w:fldCharType="begin"/>
            </w:r>
            <w:r w:rsidRPr="00C43E85">
              <w:rPr>
                <w:rFonts w:asciiTheme="majorHAnsi" w:hAnsiTheme="majorHAnsi"/>
                <w:noProof/>
                <w:webHidden/>
              </w:rPr>
              <w:instrText xml:space="preserve"> PAGEREF _Toc449951372 \h </w:instrText>
            </w:r>
            <w:r w:rsidRPr="00C43E85">
              <w:rPr>
                <w:rFonts w:asciiTheme="majorHAnsi" w:hAnsiTheme="majorHAnsi"/>
                <w:noProof/>
                <w:webHidden/>
              </w:rPr>
            </w:r>
            <w:r w:rsidRPr="00C43E85">
              <w:rPr>
                <w:rFonts w:asciiTheme="majorHAnsi" w:hAnsiTheme="majorHAnsi"/>
                <w:noProof/>
                <w:webHidden/>
              </w:rPr>
              <w:fldChar w:fldCharType="separate"/>
            </w:r>
            <w:r w:rsidRPr="00C43E85">
              <w:rPr>
                <w:rFonts w:asciiTheme="majorHAnsi" w:hAnsiTheme="majorHAnsi"/>
                <w:noProof/>
                <w:webHidden/>
              </w:rPr>
              <w:t>4</w:t>
            </w:r>
            <w:r w:rsidRPr="00C43E85">
              <w:rPr>
                <w:rFonts w:asciiTheme="majorHAnsi" w:hAnsiTheme="majorHAnsi"/>
                <w:noProof/>
                <w:webHidden/>
              </w:rPr>
              <w:fldChar w:fldCharType="end"/>
            </w:r>
          </w:hyperlink>
        </w:p>
        <w:p w:rsidR="00C43E85" w:rsidRPr="00C43E85" w:rsidRDefault="00C43E85">
          <w:pPr>
            <w:pStyle w:val="TOC1"/>
            <w:tabs>
              <w:tab w:val="right" w:leader="dot" w:pos="9350"/>
            </w:tabs>
            <w:rPr>
              <w:rFonts w:asciiTheme="majorHAnsi" w:eastAsiaTheme="minorEastAsia" w:hAnsiTheme="majorHAnsi"/>
              <w:noProof/>
              <w:sz w:val="22"/>
              <w:szCs w:val="22"/>
            </w:rPr>
          </w:pPr>
          <w:hyperlink w:anchor="_Toc449951373" w:history="1">
            <w:r w:rsidRPr="00C43E85">
              <w:rPr>
                <w:rStyle w:val="Hyperlink"/>
                <w:rFonts w:asciiTheme="majorHAnsi" w:hAnsiTheme="majorHAnsi"/>
                <w:noProof/>
              </w:rPr>
              <w:t>Required Outcomes</w:t>
            </w:r>
            <w:r w:rsidRPr="00C43E85">
              <w:rPr>
                <w:rFonts w:asciiTheme="majorHAnsi" w:hAnsiTheme="majorHAnsi"/>
                <w:noProof/>
                <w:webHidden/>
              </w:rPr>
              <w:tab/>
            </w:r>
            <w:r w:rsidRPr="00C43E85">
              <w:rPr>
                <w:rFonts w:asciiTheme="majorHAnsi" w:hAnsiTheme="majorHAnsi"/>
                <w:noProof/>
                <w:webHidden/>
              </w:rPr>
              <w:fldChar w:fldCharType="begin"/>
            </w:r>
            <w:r w:rsidRPr="00C43E85">
              <w:rPr>
                <w:rFonts w:asciiTheme="majorHAnsi" w:hAnsiTheme="majorHAnsi"/>
                <w:noProof/>
                <w:webHidden/>
              </w:rPr>
              <w:instrText xml:space="preserve"> PAGEREF _Toc449951373 \h </w:instrText>
            </w:r>
            <w:r w:rsidRPr="00C43E85">
              <w:rPr>
                <w:rFonts w:asciiTheme="majorHAnsi" w:hAnsiTheme="majorHAnsi"/>
                <w:noProof/>
                <w:webHidden/>
              </w:rPr>
            </w:r>
            <w:r w:rsidRPr="00C43E85">
              <w:rPr>
                <w:rFonts w:asciiTheme="majorHAnsi" w:hAnsiTheme="majorHAnsi"/>
                <w:noProof/>
                <w:webHidden/>
              </w:rPr>
              <w:fldChar w:fldCharType="separate"/>
            </w:r>
            <w:r w:rsidRPr="00C43E85">
              <w:rPr>
                <w:rFonts w:asciiTheme="majorHAnsi" w:hAnsiTheme="majorHAnsi"/>
                <w:noProof/>
                <w:webHidden/>
              </w:rPr>
              <w:t>5</w:t>
            </w:r>
            <w:r w:rsidRPr="00C43E85">
              <w:rPr>
                <w:rFonts w:asciiTheme="majorHAnsi" w:hAnsiTheme="majorHAnsi"/>
                <w:noProof/>
                <w:webHidden/>
              </w:rPr>
              <w:fldChar w:fldCharType="end"/>
            </w:r>
          </w:hyperlink>
        </w:p>
        <w:p w:rsidR="00C43E85" w:rsidRPr="00C43E85" w:rsidRDefault="00C43E85">
          <w:pPr>
            <w:pStyle w:val="TOC1"/>
            <w:tabs>
              <w:tab w:val="right" w:leader="dot" w:pos="9350"/>
            </w:tabs>
            <w:rPr>
              <w:rFonts w:asciiTheme="majorHAnsi" w:eastAsiaTheme="minorEastAsia" w:hAnsiTheme="majorHAnsi"/>
              <w:noProof/>
              <w:sz w:val="22"/>
              <w:szCs w:val="22"/>
            </w:rPr>
          </w:pPr>
          <w:hyperlink w:anchor="_Toc449951374" w:history="1">
            <w:r w:rsidRPr="00C43E85">
              <w:rPr>
                <w:rStyle w:val="Hyperlink"/>
                <w:rFonts w:asciiTheme="majorHAnsi" w:hAnsiTheme="majorHAnsi"/>
                <w:noProof/>
              </w:rPr>
              <w:t>Post Award Reporting Requirements</w:t>
            </w:r>
            <w:r w:rsidRPr="00C43E85">
              <w:rPr>
                <w:rFonts w:asciiTheme="majorHAnsi" w:hAnsiTheme="majorHAnsi"/>
                <w:noProof/>
                <w:webHidden/>
              </w:rPr>
              <w:tab/>
            </w:r>
            <w:r w:rsidRPr="00C43E85">
              <w:rPr>
                <w:rFonts w:asciiTheme="majorHAnsi" w:hAnsiTheme="majorHAnsi"/>
                <w:noProof/>
                <w:webHidden/>
              </w:rPr>
              <w:fldChar w:fldCharType="begin"/>
            </w:r>
            <w:r w:rsidRPr="00C43E85">
              <w:rPr>
                <w:rFonts w:asciiTheme="majorHAnsi" w:hAnsiTheme="majorHAnsi"/>
                <w:noProof/>
                <w:webHidden/>
              </w:rPr>
              <w:instrText xml:space="preserve"> PAGEREF _Toc449951374 \h </w:instrText>
            </w:r>
            <w:r w:rsidRPr="00C43E85">
              <w:rPr>
                <w:rFonts w:asciiTheme="majorHAnsi" w:hAnsiTheme="majorHAnsi"/>
                <w:noProof/>
                <w:webHidden/>
              </w:rPr>
            </w:r>
            <w:r w:rsidRPr="00C43E85">
              <w:rPr>
                <w:rFonts w:asciiTheme="majorHAnsi" w:hAnsiTheme="majorHAnsi"/>
                <w:noProof/>
                <w:webHidden/>
              </w:rPr>
              <w:fldChar w:fldCharType="separate"/>
            </w:r>
            <w:r w:rsidRPr="00C43E85">
              <w:rPr>
                <w:rFonts w:asciiTheme="majorHAnsi" w:hAnsiTheme="majorHAnsi"/>
                <w:noProof/>
                <w:webHidden/>
              </w:rPr>
              <w:t>5</w:t>
            </w:r>
            <w:r w:rsidRPr="00C43E85">
              <w:rPr>
                <w:rFonts w:asciiTheme="majorHAnsi" w:hAnsiTheme="majorHAnsi"/>
                <w:noProof/>
                <w:webHidden/>
              </w:rPr>
              <w:fldChar w:fldCharType="end"/>
            </w:r>
          </w:hyperlink>
        </w:p>
        <w:p w:rsidR="00C43E85" w:rsidRPr="00C43E85" w:rsidRDefault="00C43E85">
          <w:pPr>
            <w:pStyle w:val="TOC1"/>
            <w:tabs>
              <w:tab w:val="right" w:leader="dot" w:pos="9350"/>
            </w:tabs>
            <w:rPr>
              <w:rFonts w:asciiTheme="majorHAnsi" w:eastAsiaTheme="minorEastAsia" w:hAnsiTheme="majorHAnsi"/>
              <w:noProof/>
              <w:sz w:val="22"/>
              <w:szCs w:val="22"/>
            </w:rPr>
          </w:pPr>
          <w:hyperlink w:anchor="_Toc449951375" w:history="1">
            <w:r w:rsidRPr="00C43E85">
              <w:rPr>
                <w:rStyle w:val="Hyperlink"/>
                <w:rFonts w:asciiTheme="majorHAnsi" w:hAnsiTheme="majorHAnsi"/>
                <w:noProof/>
              </w:rPr>
              <w:t>Application Deadline and Award Notice</w:t>
            </w:r>
            <w:r w:rsidRPr="00C43E85">
              <w:rPr>
                <w:rFonts w:asciiTheme="majorHAnsi" w:hAnsiTheme="majorHAnsi"/>
                <w:noProof/>
                <w:webHidden/>
              </w:rPr>
              <w:tab/>
            </w:r>
            <w:r w:rsidRPr="00C43E85">
              <w:rPr>
                <w:rFonts w:asciiTheme="majorHAnsi" w:hAnsiTheme="majorHAnsi"/>
                <w:noProof/>
                <w:webHidden/>
              </w:rPr>
              <w:fldChar w:fldCharType="begin"/>
            </w:r>
            <w:r w:rsidRPr="00C43E85">
              <w:rPr>
                <w:rFonts w:asciiTheme="majorHAnsi" w:hAnsiTheme="majorHAnsi"/>
                <w:noProof/>
                <w:webHidden/>
              </w:rPr>
              <w:instrText xml:space="preserve"> PAGEREF _Toc449951375 \h </w:instrText>
            </w:r>
            <w:r w:rsidRPr="00C43E85">
              <w:rPr>
                <w:rFonts w:asciiTheme="majorHAnsi" w:hAnsiTheme="majorHAnsi"/>
                <w:noProof/>
                <w:webHidden/>
              </w:rPr>
            </w:r>
            <w:r w:rsidRPr="00C43E85">
              <w:rPr>
                <w:rFonts w:asciiTheme="majorHAnsi" w:hAnsiTheme="majorHAnsi"/>
                <w:noProof/>
                <w:webHidden/>
              </w:rPr>
              <w:fldChar w:fldCharType="separate"/>
            </w:r>
            <w:r w:rsidRPr="00C43E85">
              <w:rPr>
                <w:rFonts w:asciiTheme="majorHAnsi" w:hAnsiTheme="majorHAnsi"/>
                <w:noProof/>
                <w:webHidden/>
              </w:rPr>
              <w:t>6</w:t>
            </w:r>
            <w:r w:rsidRPr="00C43E85">
              <w:rPr>
                <w:rFonts w:asciiTheme="majorHAnsi" w:hAnsiTheme="majorHAnsi"/>
                <w:noProof/>
                <w:webHidden/>
              </w:rPr>
              <w:fldChar w:fldCharType="end"/>
            </w:r>
          </w:hyperlink>
        </w:p>
        <w:p w:rsidR="00C43E85" w:rsidRPr="00C43E85" w:rsidRDefault="00C43E85">
          <w:pPr>
            <w:pStyle w:val="TOC1"/>
            <w:tabs>
              <w:tab w:val="right" w:leader="dot" w:pos="9350"/>
            </w:tabs>
            <w:rPr>
              <w:rFonts w:asciiTheme="majorHAnsi" w:eastAsiaTheme="minorEastAsia" w:hAnsiTheme="majorHAnsi"/>
              <w:noProof/>
              <w:sz w:val="22"/>
              <w:szCs w:val="22"/>
            </w:rPr>
          </w:pPr>
          <w:hyperlink w:anchor="_Toc449951376" w:history="1">
            <w:r w:rsidRPr="00C43E85">
              <w:rPr>
                <w:rStyle w:val="Hyperlink"/>
                <w:rFonts w:asciiTheme="majorHAnsi" w:hAnsiTheme="majorHAnsi"/>
                <w:noProof/>
              </w:rPr>
              <w:t>Resources</w:t>
            </w:r>
            <w:r w:rsidRPr="00C43E85">
              <w:rPr>
                <w:rFonts w:asciiTheme="majorHAnsi" w:hAnsiTheme="majorHAnsi"/>
                <w:noProof/>
                <w:webHidden/>
              </w:rPr>
              <w:tab/>
            </w:r>
            <w:r w:rsidRPr="00C43E85">
              <w:rPr>
                <w:rFonts w:asciiTheme="majorHAnsi" w:hAnsiTheme="majorHAnsi"/>
                <w:noProof/>
                <w:webHidden/>
              </w:rPr>
              <w:fldChar w:fldCharType="begin"/>
            </w:r>
            <w:r w:rsidRPr="00C43E85">
              <w:rPr>
                <w:rFonts w:asciiTheme="majorHAnsi" w:hAnsiTheme="majorHAnsi"/>
                <w:noProof/>
                <w:webHidden/>
              </w:rPr>
              <w:instrText xml:space="preserve"> PAGEREF _Toc449951376 \h </w:instrText>
            </w:r>
            <w:r w:rsidRPr="00C43E85">
              <w:rPr>
                <w:rFonts w:asciiTheme="majorHAnsi" w:hAnsiTheme="majorHAnsi"/>
                <w:noProof/>
                <w:webHidden/>
              </w:rPr>
            </w:r>
            <w:r w:rsidRPr="00C43E85">
              <w:rPr>
                <w:rFonts w:asciiTheme="majorHAnsi" w:hAnsiTheme="majorHAnsi"/>
                <w:noProof/>
                <w:webHidden/>
              </w:rPr>
              <w:fldChar w:fldCharType="separate"/>
            </w:r>
            <w:r w:rsidRPr="00C43E85">
              <w:rPr>
                <w:rFonts w:asciiTheme="majorHAnsi" w:hAnsiTheme="majorHAnsi"/>
                <w:noProof/>
                <w:webHidden/>
              </w:rPr>
              <w:t>6</w:t>
            </w:r>
            <w:r w:rsidRPr="00C43E85">
              <w:rPr>
                <w:rFonts w:asciiTheme="majorHAnsi" w:hAnsiTheme="majorHAnsi"/>
                <w:noProof/>
                <w:webHidden/>
              </w:rPr>
              <w:fldChar w:fldCharType="end"/>
            </w:r>
          </w:hyperlink>
        </w:p>
        <w:p w:rsidR="00C43E85" w:rsidRPr="00C43E85" w:rsidRDefault="00C43E85">
          <w:pPr>
            <w:pStyle w:val="TOC1"/>
            <w:tabs>
              <w:tab w:val="right" w:leader="dot" w:pos="9350"/>
            </w:tabs>
            <w:rPr>
              <w:rFonts w:asciiTheme="majorHAnsi" w:eastAsiaTheme="minorEastAsia" w:hAnsiTheme="majorHAnsi"/>
              <w:noProof/>
              <w:sz w:val="22"/>
              <w:szCs w:val="22"/>
            </w:rPr>
          </w:pPr>
          <w:hyperlink w:anchor="_Toc449951377" w:history="1">
            <w:r w:rsidRPr="00C43E85">
              <w:rPr>
                <w:rStyle w:val="Hyperlink"/>
                <w:rFonts w:asciiTheme="majorHAnsi" w:hAnsiTheme="majorHAnsi"/>
                <w:noProof/>
              </w:rPr>
              <w:t>Application Reviews</w:t>
            </w:r>
            <w:r w:rsidRPr="00C43E85">
              <w:rPr>
                <w:rFonts w:asciiTheme="majorHAnsi" w:hAnsiTheme="majorHAnsi"/>
                <w:noProof/>
                <w:webHidden/>
              </w:rPr>
              <w:tab/>
            </w:r>
            <w:r w:rsidRPr="00C43E85">
              <w:rPr>
                <w:rFonts w:asciiTheme="majorHAnsi" w:hAnsiTheme="majorHAnsi"/>
                <w:noProof/>
                <w:webHidden/>
              </w:rPr>
              <w:fldChar w:fldCharType="begin"/>
            </w:r>
            <w:r w:rsidRPr="00C43E85">
              <w:rPr>
                <w:rFonts w:asciiTheme="majorHAnsi" w:hAnsiTheme="majorHAnsi"/>
                <w:noProof/>
                <w:webHidden/>
              </w:rPr>
              <w:instrText xml:space="preserve"> PAGEREF _Toc449951377 \h </w:instrText>
            </w:r>
            <w:r w:rsidRPr="00C43E85">
              <w:rPr>
                <w:rFonts w:asciiTheme="majorHAnsi" w:hAnsiTheme="majorHAnsi"/>
                <w:noProof/>
                <w:webHidden/>
              </w:rPr>
            </w:r>
            <w:r w:rsidRPr="00C43E85">
              <w:rPr>
                <w:rFonts w:asciiTheme="majorHAnsi" w:hAnsiTheme="majorHAnsi"/>
                <w:noProof/>
                <w:webHidden/>
              </w:rPr>
              <w:fldChar w:fldCharType="separate"/>
            </w:r>
            <w:r w:rsidRPr="00C43E85">
              <w:rPr>
                <w:rFonts w:asciiTheme="majorHAnsi" w:hAnsiTheme="majorHAnsi"/>
                <w:noProof/>
                <w:webHidden/>
              </w:rPr>
              <w:t>7</w:t>
            </w:r>
            <w:r w:rsidRPr="00C43E85">
              <w:rPr>
                <w:rFonts w:asciiTheme="majorHAnsi" w:hAnsiTheme="majorHAnsi"/>
                <w:noProof/>
                <w:webHidden/>
              </w:rPr>
              <w:fldChar w:fldCharType="end"/>
            </w:r>
          </w:hyperlink>
        </w:p>
        <w:p w:rsidR="00C43E85" w:rsidRPr="00C43E85" w:rsidRDefault="00C43E85">
          <w:pPr>
            <w:pStyle w:val="TOC1"/>
            <w:tabs>
              <w:tab w:val="right" w:leader="dot" w:pos="9350"/>
            </w:tabs>
            <w:rPr>
              <w:rFonts w:asciiTheme="majorHAnsi" w:eastAsiaTheme="minorEastAsia" w:hAnsiTheme="majorHAnsi"/>
              <w:noProof/>
              <w:sz w:val="22"/>
              <w:szCs w:val="22"/>
            </w:rPr>
          </w:pPr>
          <w:hyperlink w:anchor="_Toc449951378" w:history="1">
            <w:r w:rsidRPr="00C43E85">
              <w:rPr>
                <w:rStyle w:val="Hyperlink"/>
                <w:rFonts w:asciiTheme="majorHAnsi" w:hAnsiTheme="majorHAnsi"/>
                <w:noProof/>
              </w:rPr>
              <w:t>Contacts</w:t>
            </w:r>
            <w:r w:rsidRPr="00C43E85">
              <w:rPr>
                <w:rFonts w:asciiTheme="majorHAnsi" w:hAnsiTheme="majorHAnsi"/>
                <w:noProof/>
                <w:webHidden/>
              </w:rPr>
              <w:tab/>
            </w:r>
            <w:r w:rsidRPr="00C43E85">
              <w:rPr>
                <w:rFonts w:asciiTheme="majorHAnsi" w:hAnsiTheme="majorHAnsi"/>
                <w:noProof/>
                <w:webHidden/>
              </w:rPr>
              <w:fldChar w:fldCharType="begin"/>
            </w:r>
            <w:r w:rsidRPr="00C43E85">
              <w:rPr>
                <w:rFonts w:asciiTheme="majorHAnsi" w:hAnsiTheme="majorHAnsi"/>
                <w:noProof/>
                <w:webHidden/>
              </w:rPr>
              <w:instrText xml:space="preserve"> PAGEREF _Toc449951378 \h </w:instrText>
            </w:r>
            <w:r w:rsidRPr="00C43E85">
              <w:rPr>
                <w:rFonts w:asciiTheme="majorHAnsi" w:hAnsiTheme="majorHAnsi"/>
                <w:noProof/>
                <w:webHidden/>
              </w:rPr>
            </w:r>
            <w:r w:rsidRPr="00C43E85">
              <w:rPr>
                <w:rFonts w:asciiTheme="majorHAnsi" w:hAnsiTheme="majorHAnsi"/>
                <w:noProof/>
                <w:webHidden/>
              </w:rPr>
              <w:fldChar w:fldCharType="separate"/>
            </w:r>
            <w:r w:rsidRPr="00C43E85">
              <w:rPr>
                <w:rFonts w:asciiTheme="majorHAnsi" w:hAnsiTheme="majorHAnsi"/>
                <w:noProof/>
                <w:webHidden/>
              </w:rPr>
              <w:t>7</w:t>
            </w:r>
            <w:r w:rsidRPr="00C43E85">
              <w:rPr>
                <w:rFonts w:asciiTheme="majorHAnsi" w:hAnsiTheme="majorHAnsi"/>
                <w:noProof/>
                <w:webHidden/>
              </w:rPr>
              <w:fldChar w:fldCharType="end"/>
            </w:r>
          </w:hyperlink>
        </w:p>
        <w:p w:rsidR="00C43E85" w:rsidRPr="00C43E85" w:rsidRDefault="00C43E85">
          <w:pPr>
            <w:pStyle w:val="TOC1"/>
            <w:tabs>
              <w:tab w:val="right" w:leader="dot" w:pos="9350"/>
            </w:tabs>
            <w:rPr>
              <w:rFonts w:asciiTheme="majorHAnsi" w:eastAsiaTheme="minorEastAsia" w:hAnsiTheme="majorHAnsi"/>
              <w:noProof/>
              <w:sz w:val="22"/>
              <w:szCs w:val="22"/>
            </w:rPr>
          </w:pPr>
          <w:hyperlink w:anchor="_Toc449951379" w:history="1">
            <w:r w:rsidRPr="00C43E85">
              <w:rPr>
                <w:rStyle w:val="Hyperlink"/>
                <w:rFonts w:asciiTheme="majorHAnsi" w:hAnsiTheme="majorHAnsi"/>
                <w:noProof/>
              </w:rPr>
              <w:t>Appendix A: Application Components</w:t>
            </w:r>
            <w:r w:rsidRPr="00C43E85">
              <w:rPr>
                <w:rFonts w:asciiTheme="majorHAnsi" w:hAnsiTheme="majorHAnsi"/>
                <w:noProof/>
                <w:webHidden/>
              </w:rPr>
              <w:tab/>
            </w:r>
            <w:r w:rsidRPr="00C43E85">
              <w:rPr>
                <w:rFonts w:asciiTheme="majorHAnsi" w:hAnsiTheme="majorHAnsi"/>
                <w:noProof/>
                <w:webHidden/>
              </w:rPr>
              <w:fldChar w:fldCharType="begin"/>
            </w:r>
            <w:r w:rsidRPr="00C43E85">
              <w:rPr>
                <w:rFonts w:asciiTheme="majorHAnsi" w:hAnsiTheme="majorHAnsi"/>
                <w:noProof/>
                <w:webHidden/>
              </w:rPr>
              <w:instrText xml:space="preserve"> PAGEREF _Toc449951379 \h </w:instrText>
            </w:r>
            <w:r w:rsidRPr="00C43E85">
              <w:rPr>
                <w:rFonts w:asciiTheme="majorHAnsi" w:hAnsiTheme="majorHAnsi"/>
                <w:noProof/>
                <w:webHidden/>
              </w:rPr>
            </w:r>
            <w:r w:rsidRPr="00C43E85">
              <w:rPr>
                <w:rFonts w:asciiTheme="majorHAnsi" w:hAnsiTheme="majorHAnsi"/>
                <w:noProof/>
                <w:webHidden/>
              </w:rPr>
              <w:fldChar w:fldCharType="separate"/>
            </w:r>
            <w:r w:rsidRPr="00C43E85">
              <w:rPr>
                <w:rFonts w:asciiTheme="majorHAnsi" w:hAnsiTheme="majorHAnsi"/>
                <w:noProof/>
                <w:webHidden/>
              </w:rPr>
              <w:t>8</w:t>
            </w:r>
            <w:r w:rsidRPr="00C43E85">
              <w:rPr>
                <w:rFonts w:asciiTheme="majorHAnsi" w:hAnsiTheme="majorHAnsi"/>
                <w:noProof/>
                <w:webHidden/>
              </w:rPr>
              <w:fldChar w:fldCharType="end"/>
            </w:r>
          </w:hyperlink>
        </w:p>
        <w:p w:rsidR="00C43E85" w:rsidRPr="00C43E85" w:rsidRDefault="00C43E85">
          <w:pPr>
            <w:pStyle w:val="TOC1"/>
            <w:tabs>
              <w:tab w:val="right" w:leader="dot" w:pos="9350"/>
            </w:tabs>
            <w:rPr>
              <w:rFonts w:asciiTheme="majorHAnsi" w:eastAsiaTheme="minorEastAsia" w:hAnsiTheme="majorHAnsi"/>
              <w:noProof/>
              <w:sz w:val="22"/>
              <w:szCs w:val="22"/>
            </w:rPr>
          </w:pPr>
          <w:hyperlink w:anchor="_Toc449951380" w:history="1">
            <w:r w:rsidRPr="00C43E85">
              <w:rPr>
                <w:rStyle w:val="Hyperlink"/>
                <w:rFonts w:asciiTheme="majorHAnsi" w:hAnsiTheme="majorHAnsi"/>
                <w:noProof/>
              </w:rPr>
              <w:t>Appendix B: Instructions for Completing the Budget Justification Narrative</w:t>
            </w:r>
            <w:r w:rsidRPr="00C43E85">
              <w:rPr>
                <w:rFonts w:asciiTheme="majorHAnsi" w:hAnsiTheme="majorHAnsi"/>
                <w:noProof/>
                <w:webHidden/>
              </w:rPr>
              <w:tab/>
            </w:r>
            <w:r w:rsidRPr="00C43E85">
              <w:rPr>
                <w:rFonts w:asciiTheme="majorHAnsi" w:hAnsiTheme="majorHAnsi"/>
                <w:noProof/>
                <w:webHidden/>
              </w:rPr>
              <w:fldChar w:fldCharType="begin"/>
            </w:r>
            <w:r w:rsidRPr="00C43E85">
              <w:rPr>
                <w:rFonts w:asciiTheme="majorHAnsi" w:hAnsiTheme="majorHAnsi"/>
                <w:noProof/>
                <w:webHidden/>
              </w:rPr>
              <w:instrText xml:space="preserve"> PAGEREF _Toc449951380 \h </w:instrText>
            </w:r>
            <w:r w:rsidRPr="00C43E85">
              <w:rPr>
                <w:rFonts w:asciiTheme="majorHAnsi" w:hAnsiTheme="majorHAnsi"/>
                <w:noProof/>
                <w:webHidden/>
              </w:rPr>
            </w:r>
            <w:r w:rsidRPr="00C43E85">
              <w:rPr>
                <w:rFonts w:asciiTheme="majorHAnsi" w:hAnsiTheme="majorHAnsi"/>
                <w:noProof/>
                <w:webHidden/>
              </w:rPr>
              <w:fldChar w:fldCharType="separate"/>
            </w:r>
            <w:r w:rsidRPr="00C43E85">
              <w:rPr>
                <w:rFonts w:asciiTheme="majorHAnsi" w:hAnsiTheme="majorHAnsi"/>
                <w:noProof/>
                <w:webHidden/>
              </w:rPr>
              <w:t>9</w:t>
            </w:r>
            <w:r w:rsidRPr="00C43E85">
              <w:rPr>
                <w:rFonts w:asciiTheme="majorHAnsi" w:hAnsiTheme="majorHAnsi"/>
                <w:noProof/>
                <w:webHidden/>
              </w:rPr>
              <w:fldChar w:fldCharType="end"/>
            </w:r>
          </w:hyperlink>
        </w:p>
        <w:p w:rsidR="003C34AF" w:rsidRDefault="003C34AF" w:rsidP="002D0F24">
          <w:r w:rsidRPr="00C43E85">
            <w:rPr>
              <w:rFonts w:asciiTheme="majorHAnsi" w:hAnsiTheme="majorHAnsi"/>
              <w:b/>
              <w:bCs/>
              <w:noProof/>
            </w:rPr>
            <w:fldChar w:fldCharType="end"/>
          </w:r>
        </w:p>
      </w:sdtContent>
    </w:sdt>
    <w:p w:rsidR="003C34AF" w:rsidRDefault="003C34AF" w:rsidP="002D0F24">
      <w:pPr>
        <w:pStyle w:val="Heading1"/>
        <w:spacing w:before="0" w:after="60"/>
        <w:rPr>
          <w:color w:val="auto"/>
          <w:sz w:val="24"/>
          <w:szCs w:val="24"/>
        </w:rPr>
      </w:pPr>
    </w:p>
    <w:p w:rsidR="003C34AF" w:rsidRDefault="003C34AF" w:rsidP="002D0F24">
      <w:pPr>
        <w:pStyle w:val="Heading1"/>
        <w:spacing w:before="0" w:after="60"/>
        <w:rPr>
          <w:color w:val="auto"/>
          <w:sz w:val="24"/>
          <w:szCs w:val="24"/>
        </w:rPr>
      </w:pPr>
    </w:p>
    <w:p w:rsidR="003C34AF" w:rsidRDefault="003C34AF" w:rsidP="002D0F24">
      <w:pPr>
        <w:rPr>
          <w:rFonts w:asciiTheme="majorHAnsi" w:eastAsiaTheme="majorEastAsia" w:hAnsiTheme="majorHAnsi" w:cstheme="majorBidi"/>
          <w:b/>
          <w:bCs/>
        </w:rPr>
      </w:pPr>
      <w:r>
        <w:br w:type="page"/>
      </w:r>
    </w:p>
    <w:p w:rsidR="00304E3F" w:rsidRPr="002B4866" w:rsidRDefault="002F2F57" w:rsidP="002D0F24">
      <w:pPr>
        <w:pStyle w:val="Heading1"/>
        <w:spacing w:before="0" w:after="60"/>
        <w:rPr>
          <w:color w:val="auto"/>
          <w:sz w:val="24"/>
          <w:szCs w:val="24"/>
        </w:rPr>
      </w:pPr>
      <w:bookmarkStart w:id="0" w:name="_Toc449951367"/>
      <w:r w:rsidRPr="002B4866">
        <w:rPr>
          <w:color w:val="auto"/>
          <w:sz w:val="24"/>
          <w:szCs w:val="24"/>
        </w:rPr>
        <w:t>Purpose</w:t>
      </w:r>
      <w:bookmarkEnd w:id="0"/>
    </w:p>
    <w:p w:rsidR="00B25AD6" w:rsidRPr="002B4866" w:rsidRDefault="005A5BFE" w:rsidP="002D0F24">
      <w:pPr>
        <w:rPr>
          <w:rFonts w:asciiTheme="majorHAnsi" w:hAnsiTheme="majorHAnsi"/>
        </w:rPr>
      </w:pPr>
      <w:r>
        <w:rPr>
          <w:rFonts w:asciiTheme="majorHAnsi" w:hAnsiTheme="majorHAnsi"/>
        </w:rPr>
        <w:t>Fiscal Year (FY) 2016</w:t>
      </w:r>
      <w:r w:rsidRPr="002B4866">
        <w:rPr>
          <w:rFonts w:asciiTheme="majorHAnsi" w:hAnsiTheme="majorHAnsi"/>
        </w:rPr>
        <w:t xml:space="preserve"> </w:t>
      </w:r>
      <w:r>
        <w:rPr>
          <w:rFonts w:asciiTheme="majorHAnsi" w:hAnsiTheme="majorHAnsi"/>
        </w:rPr>
        <w:t>Patient</w:t>
      </w:r>
      <w:r w:rsidR="008F65E8">
        <w:rPr>
          <w:rFonts w:asciiTheme="majorHAnsi" w:hAnsiTheme="majorHAnsi"/>
        </w:rPr>
        <w:t>-</w:t>
      </w:r>
      <w:r>
        <w:rPr>
          <w:rFonts w:asciiTheme="majorHAnsi" w:hAnsiTheme="majorHAnsi"/>
        </w:rPr>
        <w:t>Centered Medical Home (</w:t>
      </w:r>
      <w:r w:rsidRPr="00160D90">
        <w:rPr>
          <w:rFonts w:asciiTheme="majorHAnsi" w:hAnsiTheme="majorHAnsi"/>
        </w:rPr>
        <w:t>PCMH</w:t>
      </w:r>
      <w:r>
        <w:rPr>
          <w:rFonts w:asciiTheme="majorHAnsi" w:hAnsiTheme="majorHAnsi"/>
        </w:rPr>
        <w:t xml:space="preserve">) </w:t>
      </w:r>
      <w:r w:rsidRPr="002B4866">
        <w:rPr>
          <w:rFonts w:asciiTheme="majorHAnsi" w:hAnsiTheme="majorHAnsi"/>
        </w:rPr>
        <w:t xml:space="preserve">supplemental funding </w:t>
      </w:r>
      <w:r>
        <w:rPr>
          <w:rFonts w:asciiTheme="majorHAnsi" w:hAnsiTheme="majorHAnsi"/>
        </w:rPr>
        <w:t xml:space="preserve">will </w:t>
      </w:r>
      <w:r w:rsidRPr="00160D90">
        <w:rPr>
          <w:rFonts w:asciiTheme="majorHAnsi" w:hAnsiTheme="majorHAnsi"/>
        </w:rPr>
        <w:t xml:space="preserve">support </w:t>
      </w:r>
      <w:r w:rsidRPr="00B5534D">
        <w:rPr>
          <w:rFonts w:asciiTheme="majorHAnsi" w:hAnsiTheme="majorHAnsi"/>
        </w:rPr>
        <w:t>Health Center Program award recipients (hereafter referred to as health centers)</w:t>
      </w:r>
      <w:r w:rsidRPr="00B5534D">
        <w:rPr>
          <w:rFonts w:asciiTheme="majorHAnsi" w:hAnsiTheme="majorHAnsi"/>
          <w:vertAlign w:val="superscript"/>
        </w:rPr>
        <w:footnoteReference w:id="1"/>
      </w:r>
      <w:r w:rsidRPr="00B5534D">
        <w:rPr>
          <w:rFonts w:asciiTheme="majorHAnsi" w:hAnsiTheme="majorHAnsi"/>
          <w:vertAlign w:val="superscript"/>
        </w:rPr>
        <w:t>,</w:t>
      </w:r>
      <w:r w:rsidRPr="00B5534D">
        <w:rPr>
          <w:rFonts w:asciiTheme="majorHAnsi" w:hAnsiTheme="majorHAnsi"/>
          <w:vertAlign w:val="superscript"/>
        </w:rPr>
        <w:footnoteReference w:id="2"/>
      </w:r>
      <w:r w:rsidRPr="00B5534D">
        <w:rPr>
          <w:rFonts w:asciiTheme="majorHAnsi" w:hAnsiTheme="majorHAnsi"/>
        </w:rPr>
        <w:t xml:space="preserve"> </w:t>
      </w:r>
      <w:r>
        <w:rPr>
          <w:rFonts w:asciiTheme="majorHAnsi" w:hAnsiTheme="majorHAnsi"/>
        </w:rPr>
        <w:t xml:space="preserve"> </w:t>
      </w:r>
      <w:r w:rsidR="000A41B0" w:rsidRPr="000A41B0">
        <w:rPr>
          <w:rFonts w:asciiTheme="majorHAnsi" w:hAnsiTheme="majorHAnsi"/>
        </w:rPr>
        <w:t xml:space="preserve">that received initial Health Center Program operational grant funding </w:t>
      </w:r>
      <w:r w:rsidR="000A41B0">
        <w:rPr>
          <w:rFonts w:asciiTheme="majorHAnsi" w:hAnsiTheme="majorHAnsi"/>
        </w:rPr>
        <w:t xml:space="preserve">after FY </w:t>
      </w:r>
      <w:r w:rsidR="00813242">
        <w:rPr>
          <w:rFonts w:asciiTheme="majorHAnsi" w:hAnsiTheme="majorHAnsi"/>
        </w:rPr>
        <w:t>2011</w:t>
      </w:r>
      <w:r w:rsidR="000A41B0">
        <w:rPr>
          <w:rFonts w:asciiTheme="majorHAnsi" w:hAnsiTheme="majorHAnsi"/>
        </w:rPr>
        <w:t xml:space="preserve"> </w:t>
      </w:r>
      <w:r w:rsidRPr="00160D90">
        <w:rPr>
          <w:rFonts w:asciiTheme="majorHAnsi" w:hAnsiTheme="majorHAnsi"/>
        </w:rPr>
        <w:t xml:space="preserve">to improve quality of care and </w:t>
      </w:r>
      <w:r w:rsidR="00700F5E">
        <w:rPr>
          <w:rFonts w:asciiTheme="majorHAnsi" w:hAnsiTheme="majorHAnsi"/>
        </w:rPr>
        <w:t>patient</w:t>
      </w:r>
      <w:r w:rsidR="00B12F0C">
        <w:rPr>
          <w:rFonts w:asciiTheme="majorHAnsi" w:hAnsiTheme="majorHAnsi"/>
        </w:rPr>
        <w:t>s</w:t>
      </w:r>
      <w:r w:rsidR="00ED5799">
        <w:rPr>
          <w:rFonts w:asciiTheme="majorHAnsi" w:hAnsiTheme="majorHAnsi"/>
        </w:rPr>
        <w:t>’</w:t>
      </w:r>
      <w:r w:rsidR="00700F5E">
        <w:rPr>
          <w:rFonts w:asciiTheme="majorHAnsi" w:hAnsiTheme="majorHAnsi"/>
        </w:rPr>
        <w:t xml:space="preserve"> and </w:t>
      </w:r>
      <w:r w:rsidRPr="00160D90">
        <w:rPr>
          <w:rFonts w:asciiTheme="majorHAnsi" w:hAnsiTheme="majorHAnsi"/>
        </w:rPr>
        <w:t>provider</w:t>
      </w:r>
      <w:r w:rsidR="008C2A04">
        <w:rPr>
          <w:rFonts w:asciiTheme="majorHAnsi" w:hAnsiTheme="majorHAnsi"/>
        </w:rPr>
        <w:t>s</w:t>
      </w:r>
      <w:r w:rsidR="00ED5799">
        <w:rPr>
          <w:rFonts w:asciiTheme="majorHAnsi" w:hAnsiTheme="majorHAnsi"/>
        </w:rPr>
        <w:t>’</w:t>
      </w:r>
      <w:r w:rsidRPr="00160D90">
        <w:rPr>
          <w:rFonts w:asciiTheme="majorHAnsi" w:hAnsiTheme="majorHAnsi"/>
        </w:rPr>
        <w:t xml:space="preserve"> experience of care </w:t>
      </w:r>
      <w:r w:rsidR="005F72C1">
        <w:rPr>
          <w:rFonts w:asciiTheme="majorHAnsi" w:hAnsiTheme="majorHAnsi"/>
        </w:rPr>
        <w:t>through</w:t>
      </w:r>
      <w:r w:rsidR="00700F5E">
        <w:rPr>
          <w:rFonts w:asciiTheme="majorHAnsi" w:hAnsiTheme="majorHAnsi"/>
        </w:rPr>
        <w:t xml:space="preserve"> the PCMH health care deliver</w:t>
      </w:r>
      <w:r w:rsidR="00B12FE1">
        <w:rPr>
          <w:rFonts w:asciiTheme="majorHAnsi" w:hAnsiTheme="majorHAnsi"/>
        </w:rPr>
        <w:t>y</w:t>
      </w:r>
      <w:r w:rsidR="00700F5E">
        <w:rPr>
          <w:rFonts w:asciiTheme="majorHAnsi" w:hAnsiTheme="majorHAnsi"/>
        </w:rPr>
        <w:t xml:space="preserve"> model.</w:t>
      </w:r>
      <w:r w:rsidRPr="00160D90">
        <w:rPr>
          <w:rFonts w:asciiTheme="majorHAnsi" w:hAnsiTheme="majorHAnsi"/>
        </w:rPr>
        <w:t xml:space="preserve">  </w:t>
      </w:r>
      <w:r w:rsidR="00B5534D">
        <w:rPr>
          <w:rFonts w:asciiTheme="majorHAnsi" w:hAnsiTheme="majorHAnsi"/>
        </w:rPr>
        <w:t xml:space="preserve">This one-time </w:t>
      </w:r>
      <w:r w:rsidR="00B25AD6" w:rsidRPr="002B4866">
        <w:rPr>
          <w:rFonts w:asciiTheme="majorHAnsi" w:hAnsiTheme="majorHAnsi"/>
        </w:rPr>
        <w:t>funding</w:t>
      </w:r>
      <w:r w:rsidR="002B4866" w:rsidRPr="002B4866">
        <w:rPr>
          <w:rFonts w:asciiTheme="majorHAnsi" w:hAnsiTheme="majorHAnsi"/>
        </w:rPr>
        <w:t xml:space="preserve"> opportunity, authorized by Section 330 of the Public Health Service Act (42 U.S.C. 254b, as amended), </w:t>
      </w:r>
      <w:r w:rsidR="004605B3" w:rsidRPr="002B4866">
        <w:rPr>
          <w:rFonts w:asciiTheme="majorHAnsi" w:hAnsiTheme="majorHAnsi"/>
        </w:rPr>
        <w:t xml:space="preserve">will provide </w:t>
      </w:r>
      <w:r w:rsidR="00B25AD6" w:rsidRPr="002B4866">
        <w:rPr>
          <w:rFonts w:asciiTheme="majorHAnsi" w:hAnsiTheme="majorHAnsi"/>
        </w:rPr>
        <w:t>assist</w:t>
      </w:r>
      <w:r w:rsidR="00754943" w:rsidRPr="002B4866">
        <w:rPr>
          <w:rFonts w:asciiTheme="majorHAnsi" w:hAnsiTheme="majorHAnsi"/>
        </w:rPr>
        <w:t>ance</w:t>
      </w:r>
      <w:r w:rsidR="00B25AD6" w:rsidRPr="002B4866">
        <w:rPr>
          <w:rFonts w:asciiTheme="majorHAnsi" w:hAnsiTheme="majorHAnsi"/>
        </w:rPr>
        <w:t xml:space="preserve"> </w:t>
      </w:r>
      <w:r w:rsidR="00754943" w:rsidRPr="002B4866">
        <w:rPr>
          <w:rFonts w:asciiTheme="majorHAnsi" w:hAnsiTheme="majorHAnsi"/>
        </w:rPr>
        <w:t xml:space="preserve">to </w:t>
      </w:r>
      <w:r w:rsidR="004605B3" w:rsidRPr="002B4866">
        <w:rPr>
          <w:rFonts w:asciiTheme="majorHAnsi" w:hAnsiTheme="majorHAnsi"/>
        </w:rPr>
        <w:t>health centers</w:t>
      </w:r>
      <w:r w:rsidR="00B25AD6" w:rsidRPr="002B4866">
        <w:rPr>
          <w:rFonts w:asciiTheme="majorHAnsi" w:hAnsiTheme="majorHAnsi"/>
        </w:rPr>
        <w:t xml:space="preserve"> </w:t>
      </w:r>
      <w:r w:rsidR="005F72C1">
        <w:rPr>
          <w:rFonts w:asciiTheme="majorHAnsi" w:hAnsiTheme="majorHAnsi"/>
        </w:rPr>
        <w:t xml:space="preserve">to </w:t>
      </w:r>
      <w:r w:rsidR="00B25AD6" w:rsidRPr="002B4866">
        <w:rPr>
          <w:rFonts w:asciiTheme="majorHAnsi" w:hAnsiTheme="majorHAnsi"/>
        </w:rPr>
        <w:t xml:space="preserve">make the practice changes necessary </w:t>
      </w:r>
      <w:r w:rsidR="00754943" w:rsidRPr="002B4866">
        <w:rPr>
          <w:rFonts w:asciiTheme="majorHAnsi" w:hAnsiTheme="majorHAnsi"/>
        </w:rPr>
        <w:t>to achieve</w:t>
      </w:r>
      <w:r w:rsidR="005F72C1">
        <w:rPr>
          <w:rFonts w:asciiTheme="majorHAnsi" w:hAnsiTheme="majorHAnsi"/>
        </w:rPr>
        <w:t>, expand, and/</w:t>
      </w:r>
      <w:r w:rsidR="00E53511" w:rsidRPr="002B4866">
        <w:rPr>
          <w:rFonts w:asciiTheme="majorHAnsi" w:hAnsiTheme="majorHAnsi"/>
        </w:rPr>
        <w:t>or</w:t>
      </w:r>
      <w:r w:rsidR="00754943" w:rsidRPr="002B4866">
        <w:rPr>
          <w:rFonts w:asciiTheme="majorHAnsi" w:hAnsiTheme="majorHAnsi"/>
        </w:rPr>
        <w:t xml:space="preserve"> </w:t>
      </w:r>
      <w:r w:rsidR="00AF6C5B">
        <w:rPr>
          <w:rFonts w:asciiTheme="majorHAnsi" w:hAnsiTheme="majorHAnsi"/>
        </w:rPr>
        <w:t>optimize</w:t>
      </w:r>
      <w:r w:rsidR="006A385C" w:rsidRPr="002B4866">
        <w:rPr>
          <w:rFonts w:asciiTheme="majorHAnsi" w:hAnsiTheme="majorHAnsi"/>
        </w:rPr>
        <w:t xml:space="preserve"> </w:t>
      </w:r>
      <w:r w:rsidR="00754943" w:rsidRPr="002B4866">
        <w:rPr>
          <w:rFonts w:asciiTheme="majorHAnsi" w:hAnsiTheme="majorHAnsi"/>
        </w:rPr>
        <w:t>PCMH recognition.</w:t>
      </w:r>
      <w:r w:rsidR="00726DA2">
        <w:rPr>
          <w:rStyle w:val="FootnoteReference"/>
          <w:rFonts w:asciiTheme="majorHAnsi" w:hAnsiTheme="majorHAnsi"/>
        </w:rPr>
        <w:footnoteReference w:id="3"/>
      </w:r>
      <w:r w:rsidR="008A4CA7" w:rsidRPr="002B4866">
        <w:rPr>
          <w:rFonts w:asciiTheme="majorHAnsi" w:hAnsiTheme="majorHAnsi"/>
        </w:rPr>
        <w:t xml:space="preserve"> </w:t>
      </w:r>
    </w:p>
    <w:p w:rsidR="005405A2" w:rsidRPr="002B4866" w:rsidRDefault="005405A2" w:rsidP="002D0F24">
      <w:pPr>
        <w:rPr>
          <w:rFonts w:asciiTheme="majorHAnsi" w:hAnsiTheme="majorHAnsi"/>
        </w:rPr>
      </w:pPr>
    </w:p>
    <w:p w:rsidR="00011814" w:rsidRPr="00F77D79" w:rsidRDefault="002F2F57" w:rsidP="002D0F24">
      <w:pPr>
        <w:pStyle w:val="Heading1"/>
        <w:spacing w:before="0" w:after="60"/>
        <w:rPr>
          <w:bCs w:val="0"/>
          <w:color w:val="auto"/>
          <w:sz w:val="24"/>
          <w:szCs w:val="24"/>
        </w:rPr>
      </w:pPr>
      <w:bookmarkStart w:id="1" w:name="_Toc449951368"/>
      <w:r w:rsidRPr="00F77D79">
        <w:rPr>
          <w:bCs w:val="0"/>
          <w:color w:val="auto"/>
          <w:sz w:val="24"/>
          <w:szCs w:val="24"/>
        </w:rPr>
        <w:t>Background</w:t>
      </w:r>
      <w:bookmarkEnd w:id="1"/>
    </w:p>
    <w:p w:rsidR="00A106B4" w:rsidRPr="00BE2DBE" w:rsidRDefault="008E5815" w:rsidP="00A106B4">
      <w:pPr>
        <w:rPr>
          <w:rFonts w:asciiTheme="majorHAnsi" w:hAnsiTheme="majorHAnsi"/>
        </w:rPr>
      </w:pPr>
      <w:r w:rsidRPr="002B4866">
        <w:rPr>
          <w:rFonts w:asciiTheme="majorHAnsi" w:hAnsiTheme="majorHAnsi"/>
        </w:rPr>
        <w:t xml:space="preserve">The </w:t>
      </w:r>
      <w:r w:rsidR="00C37054">
        <w:rPr>
          <w:rFonts w:asciiTheme="majorHAnsi" w:hAnsiTheme="majorHAnsi"/>
        </w:rPr>
        <w:t>PCMH</w:t>
      </w:r>
      <w:r w:rsidRPr="002B4866">
        <w:rPr>
          <w:rFonts w:asciiTheme="majorHAnsi" w:hAnsiTheme="majorHAnsi"/>
        </w:rPr>
        <w:t xml:space="preserve"> model </w:t>
      </w:r>
      <w:r w:rsidR="00ED5799">
        <w:rPr>
          <w:rFonts w:asciiTheme="majorHAnsi" w:hAnsiTheme="majorHAnsi"/>
        </w:rPr>
        <w:t xml:space="preserve">has been demonstrated to </w:t>
      </w:r>
      <w:r w:rsidR="00C11B49">
        <w:rPr>
          <w:rFonts w:asciiTheme="majorHAnsi" w:hAnsiTheme="majorHAnsi"/>
        </w:rPr>
        <w:t>increase</w:t>
      </w:r>
      <w:r w:rsidRPr="002B4866">
        <w:rPr>
          <w:rFonts w:asciiTheme="majorHAnsi" w:hAnsiTheme="majorHAnsi"/>
        </w:rPr>
        <w:t xml:space="preserve"> </w:t>
      </w:r>
      <w:r w:rsidR="00C11B49">
        <w:rPr>
          <w:rFonts w:asciiTheme="majorHAnsi" w:hAnsiTheme="majorHAnsi"/>
        </w:rPr>
        <w:t xml:space="preserve">patient </w:t>
      </w:r>
      <w:r w:rsidRPr="002B4866">
        <w:rPr>
          <w:rFonts w:asciiTheme="majorHAnsi" w:hAnsiTheme="majorHAnsi"/>
        </w:rPr>
        <w:t>care</w:t>
      </w:r>
      <w:r w:rsidR="00C11B49">
        <w:rPr>
          <w:rFonts w:asciiTheme="majorHAnsi" w:hAnsiTheme="majorHAnsi"/>
        </w:rPr>
        <w:t xml:space="preserve"> quality</w:t>
      </w:r>
      <w:r w:rsidRPr="002B4866">
        <w:rPr>
          <w:rFonts w:asciiTheme="majorHAnsi" w:hAnsiTheme="majorHAnsi"/>
        </w:rPr>
        <w:t xml:space="preserve"> </w:t>
      </w:r>
      <w:r w:rsidR="00406279">
        <w:rPr>
          <w:rFonts w:asciiTheme="majorHAnsi" w:hAnsiTheme="majorHAnsi"/>
        </w:rPr>
        <w:t>through</w:t>
      </w:r>
      <w:r w:rsidRPr="002B4866">
        <w:rPr>
          <w:rFonts w:asciiTheme="majorHAnsi" w:hAnsiTheme="majorHAnsi"/>
        </w:rPr>
        <w:t xml:space="preserve"> </w:t>
      </w:r>
      <w:r w:rsidR="002073B3">
        <w:rPr>
          <w:rFonts w:asciiTheme="majorHAnsi" w:hAnsiTheme="majorHAnsi"/>
        </w:rPr>
        <w:t>improved</w:t>
      </w:r>
      <w:r w:rsidR="002073B3" w:rsidRPr="002B4866">
        <w:rPr>
          <w:rFonts w:asciiTheme="majorHAnsi" w:hAnsiTheme="majorHAnsi"/>
        </w:rPr>
        <w:t xml:space="preserve"> </w:t>
      </w:r>
      <w:r w:rsidRPr="002B4866">
        <w:rPr>
          <w:rFonts w:asciiTheme="majorHAnsi" w:hAnsiTheme="majorHAnsi"/>
        </w:rPr>
        <w:t>access</w:t>
      </w:r>
      <w:r w:rsidR="00726DA2">
        <w:rPr>
          <w:rFonts w:asciiTheme="majorHAnsi" w:hAnsiTheme="majorHAnsi"/>
        </w:rPr>
        <w:t>, integrated</w:t>
      </w:r>
      <w:r w:rsidR="00C11B49">
        <w:rPr>
          <w:rFonts w:asciiTheme="majorHAnsi" w:hAnsiTheme="majorHAnsi"/>
        </w:rPr>
        <w:t xml:space="preserve"> </w:t>
      </w:r>
      <w:r w:rsidR="00337DA0">
        <w:rPr>
          <w:rFonts w:asciiTheme="majorHAnsi" w:hAnsiTheme="majorHAnsi"/>
        </w:rPr>
        <w:t xml:space="preserve">care </w:t>
      </w:r>
      <w:r w:rsidR="00786898">
        <w:rPr>
          <w:rFonts w:asciiTheme="majorHAnsi" w:hAnsiTheme="majorHAnsi"/>
        </w:rPr>
        <w:t>team</w:t>
      </w:r>
      <w:r w:rsidR="00726DA2">
        <w:rPr>
          <w:rFonts w:asciiTheme="majorHAnsi" w:hAnsiTheme="majorHAnsi"/>
        </w:rPr>
        <w:t>s</w:t>
      </w:r>
      <w:r w:rsidR="00786898">
        <w:rPr>
          <w:rFonts w:asciiTheme="majorHAnsi" w:hAnsiTheme="majorHAnsi"/>
        </w:rPr>
        <w:t xml:space="preserve">, </w:t>
      </w:r>
      <w:r w:rsidR="00380F15">
        <w:rPr>
          <w:rFonts w:asciiTheme="majorHAnsi" w:hAnsiTheme="majorHAnsi"/>
        </w:rPr>
        <w:t xml:space="preserve">and </w:t>
      </w:r>
      <w:r w:rsidR="00726DA2">
        <w:rPr>
          <w:rFonts w:asciiTheme="majorHAnsi" w:hAnsiTheme="majorHAnsi"/>
        </w:rPr>
        <w:t xml:space="preserve">care </w:t>
      </w:r>
      <w:r w:rsidR="00380F15">
        <w:rPr>
          <w:rFonts w:asciiTheme="majorHAnsi" w:hAnsiTheme="majorHAnsi"/>
        </w:rPr>
        <w:t>coordinat</w:t>
      </w:r>
      <w:r w:rsidR="00726DA2">
        <w:rPr>
          <w:rFonts w:asciiTheme="majorHAnsi" w:hAnsiTheme="majorHAnsi"/>
        </w:rPr>
        <w:t>ion</w:t>
      </w:r>
      <w:r w:rsidR="00380F15">
        <w:rPr>
          <w:rFonts w:asciiTheme="majorHAnsi" w:hAnsiTheme="majorHAnsi"/>
        </w:rPr>
        <w:t>.</w:t>
      </w:r>
      <w:r w:rsidRPr="002B4866">
        <w:rPr>
          <w:rFonts w:asciiTheme="majorHAnsi" w:hAnsiTheme="majorHAnsi"/>
        </w:rPr>
        <w:t xml:space="preserve">  </w:t>
      </w:r>
      <w:r w:rsidR="00A106B4" w:rsidRPr="00BE2DBE">
        <w:rPr>
          <w:rFonts w:asciiTheme="majorHAnsi" w:hAnsiTheme="majorHAnsi"/>
        </w:rPr>
        <w:t>In November 2010, H</w:t>
      </w:r>
      <w:r w:rsidR="004040AC">
        <w:rPr>
          <w:rFonts w:asciiTheme="majorHAnsi" w:hAnsiTheme="majorHAnsi"/>
        </w:rPr>
        <w:t>ealth Resources and Services Administration (H</w:t>
      </w:r>
      <w:r w:rsidR="00A106B4" w:rsidRPr="00BE2DBE">
        <w:rPr>
          <w:rFonts w:asciiTheme="majorHAnsi" w:hAnsiTheme="majorHAnsi"/>
        </w:rPr>
        <w:t>RSA</w:t>
      </w:r>
      <w:r w:rsidR="004040AC">
        <w:rPr>
          <w:rFonts w:asciiTheme="majorHAnsi" w:hAnsiTheme="majorHAnsi"/>
        </w:rPr>
        <w:t>)</w:t>
      </w:r>
      <w:r w:rsidR="00A106B4" w:rsidRPr="00BE2DBE">
        <w:rPr>
          <w:rFonts w:asciiTheme="majorHAnsi" w:hAnsiTheme="majorHAnsi"/>
        </w:rPr>
        <w:t xml:space="preserve"> established </w:t>
      </w:r>
      <w:r w:rsidR="00A106B4">
        <w:rPr>
          <w:rFonts w:asciiTheme="majorHAnsi" w:hAnsiTheme="majorHAnsi"/>
        </w:rPr>
        <w:t xml:space="preserve">the </w:t>
      </w:r>
      <w:hyperlink w:anchor="HRSAPCMHInitiative" w:history="1">
        <w:r w:rsidR="00A106B4" w:rsidRPr="00EB4446">
          <w:rPr>
            <w:rStyle w:val="Hyperlink"/>
            <w:rFonts w:asciiTheme="majorHAnsi" w:hAnsiTheme="majorHAnsi" w:cstheme="minorBidi"/>
          </w:rPr>
          <w:t>HRSA Accreditation and PCMH Recognition Initiative</w:t>
        </w:r>
      </w:hyperlink>
      <w:r w:rsidR="00A106B4">
        <w:rPr>
          <w:rFonts w:asciiTheme="majorHAnsi" w:hAnsiTheme="majorHAnsi"/>
        </w:rPr>
        <w:t xml:space="preserve"> to support some of the expenses associated with seeking PCMH recognition (e.g., application fees, survey costs).  As a result of this ongoing investment, t</w:t>
      </w:r>
      <w:r w:rsidR="00A106B4" w:rsidRPr="009D31A2">
        <w:rPr>
          <w:rFonts w:asciiTheme="majorHAnsi" w:hAnsiTheme="majorHAnsi"/>
        </w:rPr>
        <w:t xml:space="preserve">he number of health centers adopting the </w:t>
      </w:r>
      <w:r w:rsidR="00A106B4">
        <w:rPr>
          <w:rFonts w:asciiTheme="majorHAnsi" w:hAnsiTheme="majorHAnsi"/>
        </w:rPr>
        <w:t>PCMH</w:t>
      </w:r>
      <w:r w:rsidR="00A106B4" w:rsidRPr="009D31A2">
        <w:rPr>
          <w:rFonts w:asciiTheme="majorHAnsi" w:hAnsiTheme="majorHAnsi"/>
        </w:rPr>
        <w:t xml:space="preserve"> model and achieving PCMH recognition</w:t>
      </w:r>
      <w:r w:rsidR="00A106B4" w:rsidRPr="00EA63F1">
        <w:rPr>
          <w:rFonts w:asciiTheme="majorHAnsi" w:hAnsiTheme="majorHAnsi"/>
        </w:rPr>
        <w:t xml:space="preserve"> </w:t>
      </w:r>
      <w:r w:rsidR="00A106B4">
        <w:rPr>
          <w:rFonts w:asciiTheme="majorHAnsi" w:hAnsiTheme="majorHAnsi"/>
        </w:rPr>
        <w:t>continues to increase</w:t>
      </w:r>
      <w:r w:rsidR="00A106B4" w:rsidRPr="00417E6A">
        <w:rPr>
          <w:rFonts w:asciiTheme="majorHAnsi" w:hAnsiTheme="majorHAnsi"/>
        </w:rPr>
        <w:t xml:space="preserve">. </w:t>
      </w:r>
      <w:r w:rsidR="00A106B4">
        <w:rPr>
          <w:rFonts w:asciiTheme="majorHAnsi" w:hAnsiTheme="majorHAnsi"/>
        </w:rPr>
        <w:t xml:space="preserve"> In</w:t>
      </w:r>
      <w:r w:rsidR="00A106B4" w:rsidRPr="00480DAA">
        <w:rPr>
          <w:rFonts w:asciiTheme="majorHAnsi" w:hAnsiTheme="majorHAnsi"/>
        </w:rPr>
        <w:t xml:space="preserve"> 2015, </w:t>
      </w:r>
      <w:r w:rsidR="00A106B4" w:rsidRPr="005E49D0">
        <w:rPr>
          <w:rFonts w:asciiTheme="majorHAnsi" w:hAnsiTheme="majorHAnsi"/>
        </w:rPr>
        <w:t>65</w:t>
      </w:r>
      <w:r w:rsidR="00A106B4">
        <w:rPr>
          <w:rFonts w:asciiTheme="majorHAnsi" w:hAnsiTheme="majorHAnsi"/>
        </w:rPr>
        <w:t xml:space="preserve"> percent</w:t>
      </w:r>
      <w:r w:rsidR="00A106B4" w:rsidRPr="005E49D0">
        <w:rPr>
          <w:rFonts w:asciiTheme="majorHAnsi" w:hAnsiTheme="majorHAnsi"/>
        </w:rPr>
        <w:t xml:space="preserve"> of </w:t>
      </w:r>
      <w:r w:rsidR="00A03E05">
        <w:rPr>
          <w:rFonts w:asciiTheme="majorHAnsi" w:hAnsiTheme="majorHAnsi"/>
        </w:rPr>
        <w:t xml:space="preserve">all </w:t>
      </w:r>
      <w:r w:rsidR="00A106B4" w:rsidRPr="005E49D0">
        <w:rPr>
          <w:rFonts w:asciiTheme="majorHAnsi" w:hAnsiTheme="majorHAnsi"/>
        </w:rPr>
        <w:t>health centers ha</w:t>
      </w:r>
      <w:r w:rsidR="00A106B4">
        <w:rPr>
          <w:rFonts w:asciiTheme="majorHAnsi" w:hAnsiTheme="majorHAnsi"/>
        </w:rPr>
        <w:t>d</w:t>
      </w:r>
      <w:r w:rsidR="00A106B4" w:rsidRPr="005E49D0">
        <w:rPr>
          <w:rFonts w:asciiTheme="majorHAnsi" w:hAnsiTheme="majorHAnsi"/>
        </w:rPr>
        <w:t xml:space="preserve"> </w:t>
      </w:r>
      <w:r w:rsidR="000D4D04">
        <w:rPr>
          <w:rFonts w:asciiTheme="majorHAnsi" w:hAnsiTheme="majorHAnsi"/>
        </w:rPr>
        <w:t>one or more</w:t>
      </w:r>
      <w:r w:rsidR="00212C7D">
        <w:rPr>
          <w:rFonts w:asciiTheme="majorHAnsi" w:hAnsiTheme="majorHAnsi"/>
        </w:rPr>
        <w:t xml:space="preserve"> </w:t>
      </w:r>
      <w:r w:rsidR="000D4D04">
        <w:rPr>
          <w:rFonts w:asciiTheme="majorHAnsi" w:hAnsiTheme="majorHAnsi"/>
        </w:rPr>
        <w:t>sites</w:t>
      </w:r>
      <w:r w:rsidR="00FF701E">
        <w:rPr>
          <w:rFonts w:asciiTheme="majorHAnsi" w:hAnsiTheme="majorHAnsi"/>
        </w:rPr>
        <w:t xml:space="preserve"> recognized as PCMH</w:t>
      </w:r>
      <w:r w:rsidR="000D4D04">
        <w:rPr>
          <w:rFonts w:asciiTheme="majorHAnsi" w:hAnsiTheme="majorHAnsi"/>
        </w:rPr>
        <w:t xml:space="preserve"> </w:t>
      </w:r>
      <w:r w:rsidR="00A106B4" w:rsidRPr="00BE2DBE">
        <w:rPr>
          <w:rFonts w:asciiTheme="majorHAnsi" w:hAnsiTheme="majorHAnsi"/>
        </w:rPr>
        <w:t>from</w:t>
      </w:r>
      <w:r w:rsidR="00A106B4">
        <w:rPr>
          <w:rFonts w:asciiTheme="majorHAnsi" w:hAnsiTheme="majorHAnsi"/>
        </w:rPr>
        <w:t xml:space="preserve"> at least one of</w:t>
      </w:r>
      <w:r w:rsidR="00A106B4" w:rsidRPr="00BE2DBE">
        <w:rPr>
          <w:rFonts w:asciiTheme="majorHAnsi" w:hAnsiTheme="majorHAnsi"/>
        </w:rPr>
        <w:t xml:space="preserve"> the following entities</w:t>
      </w:r>
      <w:r w:rsidR="00A106B4">
        <w:rPr>
          <w:rFonts w:asciiTheme="majorHAnsi" w:hAnsiTheme="majorHAnsi"/>
        </w:rPr>
        <w:t>:</w:t>
      </w:r>
      <w:r w:rsidR="00A106B4" w:rsidRPr="00BE2DBE">
        <w:rPr>
          <w:rFonts w:asciiTheme="majorHAnsi" w:hAnsiTheme="majorHAnsi"/>
        </w:rPr>
        <w:t xml:space="preserve"> </w:t>
      </w:r>
    </w:p>
    <w:p w:rsidR="00A106B4" w:rsidRPr="00BE2DBE" w:rsidRDefault="00A106B4" w:rsidP="00A106B4">
      <w:pPr>
        <w:numPr>
          <w:ilvl w:val="0"/>
          <w:numId w:val="18"/>
        </w:numPr>
        <w:rPr>
          <w:rFonts w:asciiTheme="majorHAnsi" w:hAnsiTheme="majorHAnsi"/>
          <w:u w:val="single"/>
          <w:lang w:val="en"/>
        </w:rPr>
      </w:pPr>
      <w:r w:rsidRPr="00C01589">
        <w:rPr>
          <w:rFonts w:asciiTheme="majorHAnsi" w:hAnsiTheme="majorHAnsi"/>
          <w:lang w:val="en"/>
        </w:rPr>
        <w:t>Accreditation Association for Ambulatory Health Care (AAAHC)</w:t>
      </w:r>
    </w:p>
    <w:p w:rsidR="00A106B4" w:rsidRPr="00BE2DBE" w:rsidRDefault="00A106B4" w:rsidP="00A106B4">
      <w:pPr>
        <w:numPr>
          <w:ilvl w:val="0"/>
          <w:numId w:val="18"/>
        </w:numPr>
        <w:rPr>
          <w:rFonts w:asciiTheme="majorHAnsi" w:hAnsiTheme="majorHAnsi"/>
          <w:u w:val="single"/>
          <w:lang w:val="en"/>
        </w:rPr>
      </w:pPr>
      <w:r w:rsidRPr="00C01589">
        <w:rPr>
          <w:rFonts w:asciiTheme="majorHAnsi" w:hAnsiTheme="majorHAnsi"/>
          <w:lang w:val="en"/>
        </w:rPr>
        <w:t>National Committee on Quality Assurance (NCQA)</w:t>
      </w:r>
    </w:p>
    <w:p w:rsidR="00A106B4" w:rsidRPr="00BE2DBE" w:rsidRDefault="00A106B4" w:rsidP="00A106B4">
      <w:pPr>
        <w:numPr>
          <w:ilvl w:val="0"/>
          <w:numId w:val="18"/>
        </w:numPr>
        <w:rPr>
          <w:rFonts w:asciiTheme="majorHAnsi" w:hAnsiTheme="majorHAnsi"/>
          <w:u w:val="single"/>
          <w:lang w:val="en"/>
        </w:rPr>
      </w:pPr>
      <w:r w:rsidRPr="00C01589">
        <w:rPr>
          <w:rFonts w:asciiTheme="majorHAnsi" w:hAnsiTheme="majorHAnsi"/>
          <w:lang w:val="en"/>
        </w:rPr>
        <w:t>The Joint Commission (TJC)</w:t>
      </w:r>
    </w:p>
    <w:p w:rsidR="00A106B4" w:rsidRPr="00BE2DBE" w:rsidRDefault="00A106B4" w:rsidP="00A106B4">
      <w:pPr>
        <w:numPr>
          <w:ilvl w:val="0"/>
          <w:numId w:val="18"/>
        </w:numPr>
        <w:rPr>
          <w:rFonts w:asciiTheme="majorHAnsi" w:hAnsiTheme="majorHAnsi"/>
        </w:rPr>
      </w:pPr>
      <w:r w:rsidRPr="00C01589">
        <w:rPr>
          <w:rFonts w:asciiTheme="majorHAnsi" w:hAnsiTheme="majorHAnsi"/>
          <w:lang w:val="en"/>
        </w:rPr>
        <w:t>Minnesota Health Care Home</w:t>
      </w:r>
    </w:p>
    <w:p w:rsidR="00A106B4" w:rsidRPr="00BE2DBE" w:rsidRDefault="00A106B4" w:rsidP="00A106B4">
      <w:pPr>
        <w:numPr>
          <w:ilvl w:val="0"/>
          <w:numId w:val="18"/>
        </w:numPr>
        <w:rPr>
          <w:rFonts w:asciiTheme="majorHAnsi" w:hAnsiTheme="majorHAnsi"/>
          <w:lang w:val="en"/>
        </w:rPr>
      </w:pPr>
      <w:r w:rsidRPr="00C01589">
        <w:rPr>
          <w:rFonts w:asciiTheme="majorHAnsi" w:hAnsiTheme="majorHAnsi"/>
          <w:lang w:val="en"/>
        </w:rPr>
        <w:t>Oregon Patient-Centered Primary Care Home Program</w:t>
      </w:r>
      <w:r w:rsidR="005A70B4">
        <w:rPr>
          <w:rFonts w:asciiTheme="majorHAnsi" w:hAnsiTheme="majorHAnsi"/>
          <w:lang w:val="en"/>
        </w:rPr>
        <w:t>.</w:t>
      </w:r>
    </w:p>
    <w:p w:rsidR="00A106B4" w:rsidRDefault="00A106B4" w:rsidP="002D0F24">
      <w:pPr>
        <w:rPr>
          <w:rFonts w:asciiTheme="majorHAnsi" w:hAnsiTheme="majorHAnsi"/>
        </w:rPr>
      </w:pPr>
    </w:p>
    <w:p w:rsidR="008E5815" w:rsidRPr="002B4866" w:rsidRDefault="00A106B4" w:rsidP="002D0F24">
      <w:pPr>
        <w:rPr>
          <w:rFonts w:asciiTheme="majorHAnsi" w:hAnsiTheme="majorHAnsi"/>
        </w:rPr>
      </w:pPr>
      <w:r>
        <w:rPr>
          <w:rFonts w:asciiTheme="majorHAnsi" w:hAnsiTheme="majorHAnsi"/>
        </w:rPr>
        <w:t xml:space="preserve">This </w:t>
      </w:r>
      <w:r w:rsidR="005A70B4">
        <w:rPr>
          <w:rFonts w:asciiTheme="majorHAnsi" w:hAnsiTheme="majorHAnsi"/>
        </w:rPr>
        <w:t>HRSA I</w:t>
      </w:r>
      <w:r>
        <w:rPr>
          <w:rFonts w:asciiTheme="majorHAnsi" w:hAnsiTheme="majorHAnsi"/>
        </w:rPr>
        <w:t>nitiative included supplement</w:t>
      </w:r>
      <w:r w:rsidR="00C84425">
        <w:rPr>
          <w:rFonts w:asciiTheme="majorHAnsi" w:hAnsiTheme="majorHAnsi"/>
        </w:rPr>
        <w:t>al</w:t>
      </w:r>
      <w:r>
        <w:rPr>
          <w:rFonts w:asciiTheme="majorHAnsi" w:hAnsiTheme="majorHAnsi"/>
        </w:rPr>
        <w:t xml:space="preserve"> funding opportunities in </w:t>
      </w:r>
      <w:r w:rsidR="00FC160A">
        <w:rPr>
          <w:rFonts w:asciiTheme="majorHAnsi" w:hAnsiTheme="majorHAnsi"/>
        </w:rPr>
        <w:t>FY</w:t>
      </w:r>
      <w:r>
        <w:rPr>
          <w:rFonts w:asciiTheme="majorHAnsi" w:hAnsiTheme="majorHAnsi"/>
        </w:rPr>
        <w:t xml:space="preserve"> 2011 and </w:t>
      </w:r>
      <w:r w:rsidR="00FC160A">
        <w:rPr>
          <w:rFonts w:asciiTheme="majorHAnsi" w:hAnsiTheme="majorHAnsi"/>
        </w:rPr>
        <w:t xml:space="preserve">FY </w:t>
      </w:r>
      <w:r>
        <w:rPr>
          <w:rFonts w:asciiTheme="majorHAnsi" w:hAnsiTheme="majorHAnsi"/>
        </w:rPr>
        <w:t>2012 to support</w:t>
      </w:r>
      <w:r w:rsidR="00C84425">
        <w:rPr>
          <w:rFonts w:asciiTheme="majorHAnsi" w:hAnsiTheme="majorHAnsi"/>
        </w:rPr>
        <w:t xml:space="preserve"> PCMH transformation projects at existing health center sites. </w:t>
      </w:r>
      <w:r w:rsidR="006D0D86">
        <w:rPr>
          <w:rFonts w:asciiTheme="majorHAnsi" w:hAnsiTheme="majorHAnsi"/>
        </w:rPr>
        <w:t xml:space="preserve"> </w:t>
      </w:r>
      <w:r w:rsidR="00FC160A">
        <w:rPr>
          <w:rFonts w:asciiTheme="majorHAnsi" w:hAnsiTheme="majorHAnsi"/>
        </w:rPr>
        <w:t>Th</w:t>
      </w:r>
      <w:r w:rsidR="00F866FC">
        <w:rPr>
          <w:rFonts w:asciiTheme="majorHAnsi" w:hAnsiTheme="majorHAnsi"/>
        </w:rPr>
        <w:t>e</w:t>
      </w:r>
      <w:r w:rsidR="00FC160A">
        <w:rPr>
          <w:rFonts w:asciiTheme="majorHAnsi" w:hAnsiTheme="majorHAnsi"/>
        </w:rPr>
        <w:t xml:space="preserve"> funding allowed h</w:t>
      </w:r>
      <w:r w:rsidR="00C84425" w:rsidRPr="00C84425">
        <w:rPr>
          <w:rFonts w:asciiTheme="majorHAnsi" w:hAnsiTheme="majorHAnsi"/>
        </w:rPr>
        <w:t xml:space="preserve">ealth centers </w:t>
      </w:r>
      <w:r w:rsidR="006D0D86">
        <w:rPr>
          <w:rFonts w:asciiTheme="majorHAnsi" w:hAnsiTheme="majorHAnsi"/>
        </w:rPr>
        <w:t>to a</w:t>
      </w:r>
      <w:r w:rsidR="006D0D86" w:rsidRPr="00C84425">
        <w:rPr>
          <w:rFonts w:asciiTheme="majorHAnsi" w:hAnsiTheme="majorHAnsi"/>
        </w:rPr>
        <w:t xml:space="preserve">ssess their operations through the lens of the </w:t>
      </w:r>
      <w:r w:rsidR="006D0D86">
        <w:rPr>
          <w:rFonts w:asciiTheme="majorHAnsi" w:hAnsiTheme="majorHAnsi"/>
        </w:rPr>
        <w:t>PCMH</w:t>
      </w:r>
      <w:r w:rsidR="006D0D86" w:rsidRPr="00C84425">
        <w:rPr>
          <w:rFonts w:asciiTheme="majorHAnsi" w:hAnsiTheme="majorHAnsi"/>
        </w:rPr>
        <w:t xml:space="preserve"> model of care </w:t>
      </w:r>
      <w:r w:rsidR="006D0D86">
        <w:rPr>
          <w:rFonts w:asciiTheme="majorHAnsi" w:hAnsiTheme="majorHAnsi"/>
        </w:rPr>
        <w:t>and take</w:t>
      </w:r>
      <w:r w:rsidR="00C84425" w:rsidRPr="00C84425">
        <w:rPr>
          <w:rFonts w:asciiTheme="majorHAnsi" w:hAnsiTheme="majorHAnsi"/>
        </w:rPr>
        <w:t xml:space="preserve"> the steps necessary to achieve</w:t>
      </w:r>
      <w:r w:rsidR="000A41B0">
        <w:rPr>
          <w:rFonts w:asciiTheme="majorHAnsi" w:hAnsiTheme="majorHAnsi"/>
        </w:rPr>
        <w:t xml:space="preserve"> or increase</w:t>
      </w:r>
      <w:r w:rsidR="00C84425" w:rsidRPr="00C84425">
        <w:rPr>
          <w:rFonts w:asciiTheme="majorHAnsi" w:hAnsiTheme="majorHAnsi"/>
        </w:rPr>
        <w:t xml:space="preserve"> PCMH recognition.</w:t>
      </w:r>
      <w:r w:rsidR="006D0D86">
        <w:rPr>
          <w:rFonts w:asciiTheme="majorHAnsi" w:hAnsiTheme="majorHAnsi"/>
        </w:rPr>
        <w:t xml:space="preserve">  </w:t>
      </w:r>
      <w:r w:rsidR="00453C31">
        <w:rPr>
          <w:rFonts w:asciiTheme="majorHAnsi" w:hAnsiTheme="majorHAnsi"/>
        </w:rPr>
        <w:t>HRSA</w:t>
      </w:r>
      <w:r w:rsidR="000B62AB">
        <w:rPr>
          <w:rFonts w:asciiTheme="majorHAnsi" w:hAnsiTheme="majorHAnsi"/>
        </w:rPr>
        <w:t xml:space="preserve">’s </w:t>
      </w:r>
      <w:r w:rsidR="00ED5799">
        <w:rPr>
          <w:rFonts w:asciiTheme="majorHAnsi" w:hAnsiTheme="majorHAnsi"/>
        </w:rPr>
        <w:t xml:space="preserve">ongoing </w:t>
      </w:r>
      <w:r w:rsidR="00453C31">
        <w:rPr>
          <w:rFonts w:asciiTheme="majorHAnsi" w:hAnsiTheme="majorHAnsi"/>
        </w:rPr>
        <w:t>commit</w:t>
      </w:r>
      <w:r w:rsidR="00ED5799">
        <w:rPr>
          <w:rFonts w:asciiTheme="majorHAnsi" w:hAnsiTheme="majorHAnsi"/>
        </w:rPr>
        <w:t>ment</w:t>
      </w:r>
      <w:r w:rsidR="00453C31">
        <w:rPr>
          <w:rFonts w:asciiTheme="majorHAnsi" w:hAnsiTheme="majorHAnsi"/>
        </w:rPr>
        <w:t xml:space="preserve"> to</w:t>
      </w:r>
      <w:r w:rsidR="00453C31" w:rsidRPr="002B4866">
        <w:rPr>
          <w:rFonts w:asciiTheme="majorHAnsi" w:hAnsiTheme="majorHAnsi"/>
        </w:rPr>
        <w:t xml:space="preserve"> </w:t>
      </w:r>
      <w:r w:rsidR="000F2BB4">
        <w:rPr>
          <w:rFonts w:asciiTheme="majorHAnsi" w:hAnsiTheme="majorHAnsi"/>
        </w:rPr>
        <w:t xml:space="preserve">and support of </w:t>
      </w:r>
      <w:r w:rsidR="00453C31" w:rsidRPr="002B4866">
        <w:rPr>
          <w:rFonts w:asciiTheme="majorHAnsi" w:hAnsiTheme="majorHAnsi"/>
        </w:rPr>
        <w:t xml:space="preserve">the </w:t>
      </w:r>
      <w:r w:rsidR="00453C31">
        <w:rPr>
          <w:rFonts w:asciiTheme="majorHAnsi" w:hAnsiTheme="majorHAnsi"/>
        </w:rPr>
        <w:t>PCMH</w:t>
      </w:r>
      <w:r w:rsidR="00453C31" w:rsidRPr="002B4866">
        <w:rPr>
          <w:rFonts w:asciiTheme="majorHAnsi" w:hAnsiTheme="majorHAnsi"/>
        </w:rPr>
        <w:t xml:space="preserve"> model</w:t>
      </w:r>
      <w:r w:rsidR="00726DA2">
        <w:rPr>
          <w:rFonts w:asciiTheme="majorHAnsi" w:hAnsiTheme="majorHAnsi"/>
        </w:rPr>
        <w:t xml:space="preserve"> </w:t>
      </w:r>
      <w:r w:rsidR="00BE7BE4">
        <w:rPr>
          <w:rFonts w:asciiTheme="majorHAnsi" w:hAnsiTheme="majorHAnsi"/>
        </w:rPr>
        <w:t>ha</w:t>
      </w:r>
      <w:r w:rsidR="000B62AB">
        <w:rPr>
          <w:rFonts w:asciiTheme="majorHAnsi" w:hAnsiTheme="majorHAnsi"/>
        </w:rPr>
        <w:t>s</w:t>
      </w:r>
      <w:r w:rsidR="00BE7BE4">
        <w:rPr>
          <w:rFonts w:asciiTheme="majorHAnsi" w:hAnsiTheme="majorHAnsi"/>
        </w:rPr>
        <w:t xml:space="preserve"> helped</w:t>
      </w:r>
      <w:r w:rsidR="00CD494D">
        <w:rPr>
          <w:rFonts w:asciiTheme="majorHAnsi" w:hAnsiTheme="majorHAnsi"/>
        </w:rPr>
        <w:t xml:space="preserve"> h</w:t>
      </w:r>
      <w:r w:rsidR="00CF6E07">
        <w:rPr>
          <w:rFonts w:asciiTheme="majorHAnsi" w:hAnsiTheme="majorHAnsi"/>
        </w:rPr>
        <w:t>ealth centers ma</w:t>
      </w:r>
      <w:r w:rsidR="00BE7BE4">
        <w:rPr>
          <w:rFonts w:asciiTheme="majorHAnsi" w:hAnsiTheme="majorHAnsi"/>
        </w:rPr>
        <w:t>k</w:t>
      </w:r>
      <w:r w:rsidR="00CF6E07">
        <w:rPr>
          <w:rFonts w:asciiTheme="majorHAnsi" w:hAnsiTheme="majorHAnsi"/>
        </w:rPr>
        <w:t xml:space="preserve">e major </w:t>
      </w:r>
      <w:r w:rsidR="008E5815" w:rsidRPr="002B4866">
        <w:rPr>
          <w:rFonts w:asciiTheme="majorHAnsi" w:hAnsiTheme="majorHAnsi"/>
        </w:rPr>
        <w:t xml:space="preserve">advances in adopting evidence-based practices, improving patient safety, </w:t>
      </w:r>
      <w:r w:rsidR="007B3FE3">
        <w:rPr>
          <w:rFonts w:asciiTheme="majorHAnsi" w:hAnsiTheme="majorHAnsi"/>
        </w:rPr>
        <w:t>improving</w:t>
      </w:r>
      <w:r w:rsidR="000356D7">
        <w:rPr>
          <w:rFonts w:asciiTheme="majorHAnsi" w:hAnsiTheme="majorHAnsi"/>
        </w:rPr>
        <w:t xml:space="preserve"> </w:t>
      </w:r>
      <w:r w:rsidR="000356D7" w:rsidRPr="000356D7">
        <w:rPr>
          <w:rFonts w:asciiTheme="majorHAnsi" w:hAnsiTheme="majorHAnsi"/>
        </w:rPr>
        <w:t>performance on</w:t>
      </w:r>
      <w:r w:rsidR="007B3FE3">
        <w:rPr>
          <w:rFonts w:asciiTheme="majorHAnsi" w:hAnsiTheme="majorHAnsi"/>
        </w:rPr>
        <w:t xml:space="preserve"> Uniform Data System clinical quality measures, </w:t>
      </w:r>
      <w:r w:rsidR="00CF6E07">
        <w:rPr>
          <w:rFonts w:asciiTheme="majorHAnsi" w:hAnsiTheme="majorHAnsi"/>
        </w:rPr>
        <w:t xml:space="preserve">and </w:t>
      </w:r>
      <w:r w:rsidR="008E5815" w:rsidRPr="002B4866">
        <w:rPr>
          <w:rFonts w:asciiTheme="majorHAnsi" w:hAnsiTheme="majorHAnsi"/>
        </w:rPr>
        <w:t xml:space="preserve">meeting </w:t>
      </w:r>
      <w:r w:rsidR="00ED5799">
        <w:rPr>
          <w:rFonts w:asciiTheme="majorHAnsi" w:hAnsiTheme="majorHAnsi"/>
        </w:rPr>
        <w:t xml:space="preserve">or exceeding </w:t>
      </w:r>
      <w:r w:rsidR="008E5815" w:rsidRPr="002B4866">
        <w:rPr>
          <w:rFonts w:asciiTheme="majorHAnsi" w:hAnsiTheme="majorHAnsi"/>
        </w:rPr>
        <w:t>national quality standards</w:t>
      </w:r>
      <w:r w:rsidR="00310037">
        <w:rPr>
          <w:rFonts w:asciiTheme="majorHAnsi" w:hAnsiTheme="majorHAnsi"/>
        </w:rPr>
        <w:t>.</w:t>
      </w:r>
      <w:r w:rsidR="00D23415">
        <w:rPr>
          <w:rFonts w:asciiTheme="majorHAnsi" w:hAnsiTheme="majorHAnsi"/>
        </w:rPr>
        <w:t xml:space="preserve"> </w:t>
      </w:r>
    </w:p>
    <w:p w:rsidR="00BE2DBE" w:rsidRDefault="00BE2DBE" w:rsidP="002D0F24">
      <w:pPr>
        <w:rPr>
          <w:rFonts w:asciiTheme="majorHAnsi" w:hAnsiTheme="majorHAnsi"/>
        </w:rPr>
      </w:pPr>
    </w:p>
    <w:p w:rsidR="00754943" w:rsidRDefault="00F174BD" w:rsidP="002D0F24">
      <w:pPr>
        <w:rPr>
          <w:rFonts w:asciiTheme="majorHAnsi" w:hAnsiTheme="majorHAnsi"/>
        </w:rPr>
      </w:pPr>
      <w:r>
        <w:rPr>
          <w:rFonts w:asciiTheme="majorHAnsi" w:hAnsiTheme="majorHAnsi"/>
        </w:rPr>
        <w:t xml:space="preserve">Through this </w:t>
      </w:r>
      <w:r w:rsidR="003B272A" w:rsidRPr="002B4866">
        <w:rPr>
          <w:rFonts w:asciiTheme="majorHAnsi" w:hAnsiTheme="majorHAnsi"/>
        </w:rPr>
        <w:t>one-time supplemental</w:t>
      </w:r>
      <w:r w:rsidR="003B272A">
        <w:rPr>
          <w:rFonts w:asciiTheme="majorHAnsi" w:hAnsiTheme="majorHAnsi"/>
        </w:rPr>
        <w:t xml:space="preserve"> </w:t>
      </w:r>
      <w:r>
        <w:rPr>
          <w:rFonts w:asciiTheme="majorHAnsi" w:hAnsiTheme="majorHAnsi"/>
        </w:rPr>
        <w:t xml:space="preserve">funding opportunity, </w:t>
      </w:r>
      <w:r w:rsidR="00180404" w:rsidRPr="002B4866">
        <w:rPr>
          <w:rFonts w:asciiTheme="majorHAnsi" w:hAnsiTheme="majorHAnsi"/>
        </w:rPr>
        <w:t xml:space="preserve">HRSA will award approximately $10 million </w:t>
      </w:r>
      <w:r w:rsidR="00A8543B">
        <w:rPr>
          <w:rFonts w:asciiTheme="majorHAnsi" w:hAnsiTheme="majorHAnsi"/>
        </w:rPr>
        <w:t>to</w:t>
      </w:r>
      <w:r w:rsidR="00180404" w:rsidRPr="002B4866">
        <w:rPr>
          <w:rFonts w:asciiTheme="majorHAnsi" w:hAnsiTheme="majorHAnsi"/>
        </w:rPr>
        <w:t xml:space="preserve"> support health centers</w:t>
      </w:r>
      <w:r w:rsidR="00A106B4">
        <w:rPr>
          <w:rFonts w:asciiTheme="majorHAnsi" w:hAnsiTheme="majorHAnsi"/>
        </w:rPr>
        <w:t xml:space="preserve"> awarded initial</w:t>
      </w:r>
      <w:r w:rsidR="00DC5389">
        <w:rPr>
          <w:rFonts w:asciiTheme="majorHAnsi" w:hAnsiTheme="majorHAnsi"/>
        </w:rPr>
        <w:t xml:space="preserve"> </w:t>
      </w:r>
      <w:r w:rsidR="00DC5389" w:rsidRPr="000A41B0">
        <w:rPr>
          <w:rFonts w:asciiTheme="majorHAnsi" w:hAnsiTheme="majorHAnsi"/>
        </w:rPr>
        <w:t>Health Center Program operational grant</w:t>
      </w:r>
      <w:r w:rsidR="00A106B4">
        <w:rPr>
          <w:rFonts w:asciiTheme="majorHAnsi" w:hAnsiTheme="majorHAnsi"/>
        </w:rPr>
        <w:t xml:space="preserve"> funding after FY </w:t>
      </w:r>
      <w:r w:rsidR="00813242">
        <w:rPr>
          <w:rFonts w:asciiTheme="majorHAnsi" w:hAnsiTheme="majorHAnsi"/>
        </w:rPr>
        <w:t>2011</w:t>
      </w:r>
      <w:r w:rsidR="00813242" w:rsidRPr="002B4866">
        <w:rPr>
          <w:rFonts w:asciiTheme="majorHAnsi" w:hAnsiTheme="majorHAnsi"/>
        </w:rPr>
        <w:t xml:space="preserve"> </w:t>
      </w:r>
      <w:r w:rsidR="00180404" w:rsidRPr="002B4866">
        <w:rPr>
          <w:rFonts w:asciiTheme="majorHAnsi" w:hAnsiTheme="majorHAnsi"/>
        </w:rPr>
        <w:t xml:space="preserve">to </w:t>
      </w:r>
      <w:r w:rsidR="00E03C9B">
        <w:rPr>
          <w:rFonts w:asciiTheme="majorHAnsi" w:hAnsiTheme="majorHAnsi"/>
        </w:rPr>
        <w:t>achieve</w:t>
      </w:r>
      <w:r w:rsidR="008C2A04">
        <w:rPr>
          <w:rFonts w:asciiTheme="majorHAnsi" w:hAnsiTheme="majorHAnsi"/>
        </w:rPr>
        <w:t>, expand, and/</w:t>
      </w:r>
      <w:r w:rsidR="006A385C">
        <w:rPr>
          <w:rFonts w:asciiTheme="majorHAnsi" w:hAnsiTheme="majorHAnsi"/>
        </w:rPr>
        <w:t xml:space="preserve">or </w:t>
      </w:r>
      <w:r w:rsidR="00AF6C5B">
        <w:rPr>
          <w:rFonts w:asciiTheme="majorHAnsi" w:hAnsiTheme="majorHAnsi"/>
        </w:rPr>
        <w:t>optimize</w:t>
      </w:r>
      <w:r w:rsidR="00180404" w:rsidRPr="002B4866">
        <w:rPr>
          <w:rFonts w:asciiTheme="majorHAnsi" w:hAnsiTheme="majorHAnsi"/>
        </w:rPr>
        <w:t xml:space="preserve"> PCMH recognition.</w:t>
      </w:r>
      <w:r w:rsidR="00180404">
        <w:rPr>
          <w:rFonts w:asciiTheme="majorHAnsi" w:hAnsiTheme="majorHAnsi"/>
        </w:rPr>
        <w:t xml:space="preserve"> </w:t>
      </w:r>
    </w:p>
    <w:p w:rsidR="005A70B4" w:rsidRPr="002B4866" w:rsidRDefault="005A70B4" w:rsidP="002D0F24">
      <w:pPr>
        <w:rPr>
          <w:rFonts w:asciiTheme="majorHAnsi" w:hAnsiTheme="majorHAnsi"/>
        </w:rPr>
      </w:pPr>
    </w:p>
    <w:p w:rsidR="004605B3" w:rsidRPr="00406279" w:rsidRDefault="004605B3" w:rsidP="002D0F24">
      <w:pPr>
        <w:pStyle w:val="Heading1"/>
        <w:spacing w:before="0" w:after="60"/>
        <w:rPr>
          <w:bCs w:val="0"/>
          <w:color w:val="auto"/>
          <w:sz w:val="24"/>
          <w:szCs w:val="24"/>
        </w:rPr>
      </w:pPr>
      <w:bookmarkStart w:id="2" w:name="EligibleApps"/>
      <w:bookmarkStart w:id="3" w:name="_Toc449951369"/>
      <w:r w:rsidRPr="002B4866">
        <w:rPr>
          <w:bCs w:val="0"/>
          <w:color w:val="auto"/>
          <w:sz w:val="24"/>
          <w:szCs w:val="24"/>
        </w:rPr>
        <w:t>Eligible Applicants</w:t>
      </w:r>
      <w:bookmarkEnd w:id="3"/>
    </w:p>
    <w:bookmarkEnd w:id="2"/>
    <w:p w:rsidR="00406B54" w:rsidRPr="009D1C80" w:rsidRDefault="001B7125" w:rsidP="002D0F24">
      <w:pPr>
        <w:rPr>
          <w:rFonts w:asciiTheme="majorHAnsi" w:hAnsiTheme="majorHAnsi"/>
        </w:rPr>
      </w:pPr>
      <w:r w:rsidRPr="001B7125">
        <w:rPr>
          <w:rFonts w:asciiTheme="majorHAnsi" w:hAnsiTheme="majorHAnsi"/>
        </w:rPr>
        <w:t xml:space="preserve">In FY 2012, HRSA provided all currently funded health centers, with the exception of health centers newly funded in FY 2012, </w:t>
      </w:r>
      <w:r>
        <w:rPr>
          <w:rFonts w:asciiTheme="majorHAnsi" w:hAnsiTheme="majorHAnsi"/>
        </w:rPr>
        <w:t xml:space="preserve">the opportunity to receive </w:t>
      </w:r>
      <w:r w:rsidRPr="001B7125">
        <w:rPr>
          <w:rFonts w:asciiTheme="majorHAnsi" w:hAnsiTheme="majorHAnsi"/>
        </w:rPr>
        <w:t xml:space="preserve">PCMH supplemental funding. </w:t>
      </w:r>
      <w:r w:rsidR="00FA13F6" w:rsidRPr="001B7125">
        <w:rPr>
          <w:rFonts w:asciiTheme="majorHAnsi" w:hAnsiTheme="majorHAnsi"/>
        </w:rPr>
        <w:t xml:space="preserve">FY 2016 PCMH supplemental funding </w:t>
      </w:r>
      <w:r w:rsidR="00AF2BEC" w:rsidRPr="001B7125">
        <w:rPr>
          <w:rFonts w:asciiTheme="majorHAnsi" w:hAnsiTheme="majorHAnsi"/>
        </w:rPr>
        <w:t>wi</w:t>
      </w:r>
      <w:r w:rsidR="00666F86" w:rsidRPr="001B7125">
        <w:rPr>
          <w:rFonts w:asciiTheme="majorHAnsi" w:hAnsiTheme="majorHAnsi"/>
        </w:rPr>
        <w:t>l</w:t>
      </w:r>
      <w:r w:rsidR="00AF2BEC" w:rsidRPr="001B7125">
        <w:rPr>
          <w:rFonts w:asciiTheme="majorHAnsi" w:hAnsiTheme="majorHAnsi"/>
        </w:rPr>
        <w:t>l provide</w:t>
      </w:r>
      <w:r w:rsidR="00FA13F6" w:rsidRPr="001B7125">
        <w:rPr>
          <w:rFonts w:asciiTheme="majorHAnsi" w:hAnsiTheme="majorHAnsi"/>
        </w:rPr>
        <w:t xml:space="preserve"> targeted support</w:t>
      </w:r>
      <w:r w:rsidR="00AF2BEC" w:rsidRPr="001B7125">
        <w:rPr>
          <w:rFonts w:asciiTheme="majorHAnsi" w:hAnsiTheme="majorHAnsi"/>
        </w:rPr>
        <w:t xml:space="preserve"> to</w:t>
      </w:r>
      <w:r w:rsidR="00FA13F6" w:rsidRPr="001B7125">
        <w:rPr>
          <w:rFonts w:asciiTheme="majorHAnsi" w:hAnsiTheme="majorHAnsi"/>
        </w:rPr>
        <w:t xml:space="preserve"> health centers that were funded </w:t>
      </w:r>
      <w:r w:rsidRPr="001B7125">
        <w:rPr>
          <w:rFonts w:asciiTheme="majorHAnsi" w:hAnsiTheme="majorHAnsi"/>
        </w:rPr>
        <w:t xml:space="preserve">since </w:t>
      </w:r>
      <w:r w:rsidR="00755FEE" w:rsidRPr="001B7125">
        <w:rPr>
          <w:rFonts w:asciiTheme="majorHAnsi" w:hAnsiTheme="majorHAnsi"/>
        </w:rPr>
        <w:t>FY 2011</w:t>
      </w:r>
      <w:r w:rsidR="00FA13F6" w:rsidRPr="001B7125">
        <w:rPr>
          <w:rFonts w:asciiTheme="majorHAnsi" w:hAnsiTheme="majorHAnsi"/>
        </w:rPr>
        <w:t xml:space="preserve">. </w:t>
      </w:r>
      <w:r w:rsidR="00212C7D" w:rsidRPr="001B7125">
        <w:rPr>
          <w:rFonts w:asciiTheme="majorHAnsi" w:hAnsiTheme="majorHAnsi"/>
        </w:rPr>
        <w:t>Theref</w:t>
      </w:r>
      <w:r w:rsidR="00212C7D">
        <w:rPr>
          <w:rFonts w:asciiTheme="majorHAnsi" w:hAnsiTheme="majorHAnsi"/>
        </w:rPr>
        <w:t>ore, only h</w:t>
      </w:r>
      <w:r w:rsidR="004605B3" w:rsidRPr="009D1C80">
        <w:rPr>
          <w:rFonts w:asciiTheme="majorHAnsi" w:hAnsiTheme="majorHAnsi"/>
        </w:rPr>
        <w:t xml:space="preserve">ealth centers that received initial Health Center Program </w:t>
      </w:r>
      <w:r w:rsidR="002415BA" w:rsidRPr="009D1C80">
        <w:rPr>
          <w:rFonts w:asciiTheme="majorHAnsi" w:hAnsiTheme="majorHAnsi"/>
        </w:rPr>
        <w:t xml:space="preserve">operational grant </w:t>
      </w:r>
      <w:r w:rsidR="004605B3" w:rsidRPr="00FA13F6">
        <w:rPr>
          <w:rFonts w:asciiTheme="majorHAnsi" w:hAnsiTheme="majorHAnsi"/>
        </w:rPr>
        <w:t>funding</w:t>
      </w:r>
      <w:r w:rsidR="0070244F" w:rsidRPr="00FA13F6">
        <w:rPr>
          <w:rFonts w:asciiTheme="majorHAnsi" w:hAnsiTheme="majorHAnsi"/>
        </w:rPr>
        <w:t xml:space="preserve"> after FY 2011 (i.e., </w:t>
      </w:r>
      <w:r w:rsidR="005A70B4" w:rsidRPr="00FA13F6">
        <w:rPr>
          <w:rFonts w:asciiTheme="majorHAnsi" w:hAnsiTheme="majorHAnsi"/>
        </w:rPr>
        <w:t>FY</w:t>
      </w:r>
      <w:r w:rsidR="004605B3" w:rsidRPr="00FA13F6">
        <w:rPr>
          <w:rFonts w:asciiTheme="majorHAnsi" w:hAnsiTheme="majorHAnsi"/>
        </w:rPr>
        <w:t xml:space="preserve"> 2012</w:t>
      </w:r>
      <w:r w:rsidR="004605B3" w:rsidRPr="009D1C80">
        <w:rPr>
          <w:rFonts w:asciiTheme="majorHAnsi" w:hAnsiTheme="majorHAnsi"/>
        </w:rPr>
        <w:t>, 2013, 2014, 2015</w:t>
      </w:r>
      <w:r w:rsidR="00332CFE" w:rsidRPr="009D1C80">
        <w:rPr>
          <w:rFonts w:asciiTheme="majorHAnsi" w:hAnsiTheme="majorHAnsi"/>
        </w:rPr>
        <w:t xml:space="preserve">, </w:t>
      </w:r>
      <w:r w:rsidR="005A70B4" w:rsidRPr="009D1C80">
        <w:rPr>
          <w:rFonts w:asciiTheme="majorHAnsi" w:hAnsiTheme="majorHAnsi"/>
        </w:rPr>
        <w:t xml:space="preserve">or </w:t>
      </w:r>
      <w:r w:rsidR="00332CFE" w:rsidRPr="009D1C80">
        <w:rPr>
          <w:rFonts w:asciiTheme="majorHAnsi" w:hAnsiTheme="majorHAnsi"/>
        </w:rPr>
        <w:t>2016</w:t>
      </w:r>
      <w:r w:rsidR="007B4C55">
        <w:rPr>
          <w:rFonts w:asciiTheme="majorHAnsi" w:hAnsiTheme="majorHAnsi"/>
        </w:rPr>
        <w:t>,</w:t>
      </w:r>
      <w:r w:rsidR="00332CFE" w:rsidRPr="009D1C80">
        <w:rPr>
          <w:rFonts w:asciiTheme="majorHAnsi" w:hAnsiTheme="majorHAnsi"/>
        </w:rPr>
        <w:t xml:space="preserve"> </w:t>
      </w:r>
      <w:r w:rsidR="002714C4" w:rsidRPr="009D1C80">
        <w:rPr>
          <w:rFonts w:asciiTheme="majorHAnsi" w:hAnsiTheme="majorHAnsi"/>
        </w:rPr>
        <w:t xml:space="preserve">if </w:t>
      </w:r>
      <w:r w:rsidR="00332CFE" w:rsidRPr="009D1C80">
        <w:rPr>
          <w:rFonts w:asciiTheme="majorHAnsi" w:hAnsiTheme="majorHAnsi"/>
        </w:rPr>
        <w:t xml:space="preserve">funded </w:t>
      </w:r>
      <w:r w:rsidR="00AE3E4C" w:rsidRPr="009D1C80">
        <w:rPr>
          <w:rFonts w:asciiTheme="majorHAnsi" w:hAnsiTheme="majorHAnsi"/>
        </w:rPr>
        <w:t xml:space="preserve">by </w:t>
      </w:r>
      <w:r w:rsidR="000903A1" w:rsidRPr="009D1C80">
        <w:rPr>
          <w:rFonts w:asciiTheme="majorHAnsi" w:hAnsiTheme="majorHAnsi"/>
        </w:rPr>
        <w:t xml:space="preserve">April </w:t>
      </w:r>
      <w:r w:rsidR="00135E4A" w:rsidRPr="009D1C80">
        <w:rPr>
          <w:rFonts w:asciiTheme="majorHAnsi" w:hAnsiTheme="majorHAnsi"/>
        </w:rPr>
        <w:t xml:space="preserve">1, </w:t>
      </w:r>
      <w:r w:rsidR="00AE3E4C" w:rsidRPr="009D1C80">
        <w:rPr>
          <w:rFonts w:asciiTheme="majorHAnsi" w:hAnsiTheme="majorHAnsi"/>
        </w:rPr>
        <w:t>2016</w:t>
      </w:r>
      <w:r w:rsidR="00332CFE" w:rsidRPr="009D1C80">
        <w:rPr>
          <w:rFonts w:asciiTheme="majorHAnsi" w:hAnsiTheme="majorHAnsi"/>
        </w:rPr>
        <w:t>)</w:t>
      </w:r>
      <w:r w:rsidR="004605B3" w:rsidRPr="00FA13F6">
        <w:rPr>
          <w:rFonts w:asciiTheme="majorHAnsi" w:hAnsiTheme="majorHAnsi"/>
        </w:rPr>
        <w:t xml:space="preserve"> are eligible to apply for this supplemental funding.</w:t>
      </w:r>
      <w:r w:rsidR="00211EE7" w:rsidRPr="00FA13F6">
        <w:rPr>
          <w:rFonts w:asciiTheme="majorHAnsi" w:hAnsiTheme="majorHAnsi"/>
        </w:rPr>
        <w:t xml:space="preserve"> </w:t>
      </w:r>
      <w:r w:rsidR="003A275C" w:rsidRPr="00FA13F6">
        <w:rPr>
          <w:rFonts w:asciiTheme="majorHAnsi" w:hAnsiTheme="majorHAnsi"/>
        </w:rPr>
        <w:t xml:space="preserve"> </w:t>
      </w:r>
      <w:r w:rsidR="00211EE7" w:rsidRPr="00FA13F6">
        <w:rPr>
          <w:rFonts w:asciiTheme="majorHAnsi" w:hAnsiTheme="majorHAnsi"/>
        </w:rPr>
        <w:t xml:space="preserve">HRSA will </w:t>
      </w:r>
      <w:r w:rsidR="00D11536" w:rsidRPr="00FA13F6">
        <w:rPr>
          <w:rFonts w:asciiTheme="majorHAnsi" w:hAnsiTheme="majorHAnsi"/>
        </w:rPr>
        <w:t>notify</w:t>
      </w:r>
      <w:r w:rsidR="00211EE7" w:rsidRPr="00FA13F6">
        <w:rPr>
          <w:rFonts w:asciiTheme="majorHAnsi" w:hAnsiTheme="majorHAnsi"/>
        </w:rPr>
        <w:t xml:space="preserve"> each eligible health center </w:t>
      </w:r>
      <w:r w:rsidR="00D11536" w:rsidRPr="00FA13F6">
        <w:rPr>
          <w:rFonts w:asciiTheme="majorHAnsi" w:hAnsiTheme="majorHAnsi"/>
        </w:rPr>
        <w:t xml:space="preserve">about </w:t>
      </w:r>
      <w:r w:rsidR="00211EE7" w:rsidRPr="00FA13F6">
        <w:rPr>
          <w:rFonts w:asciiTheme="majorHAnsi" w:hAnsiTheme="majorHAnsi"/>
        </w:rPr>
        <w:t xml:space="preserve">the availability of the </w:t>
      </w:r>
      <w:r w:rsidR="005A022D" w:rsidRPr="00FA13F6">
        <w:rPr>
          <w:rFonts w:asciiTheme="majorHAnsi" w:hAnsiTheme="majorHAnsi"/>
        </w:rPr>
        <w:t xml:space="preserve">FY 2016 </w:t>
      </w:r>
      <w:r w:rsidR="00211EE7" w:rsidRPr="00FA13F6">
        <w:rPr>
          <w:rFonts w:asciiTheme="majorHAnsi" w:hAnsiTheme="majorHAnsi"/>
        </w:rPr>
        <w:t>PCMH supplemental funding</w:t>
      </w:r>
      <w:r w:rsidR="008C2A04" w:rsidRPr="00FA13F6">
        <w:rPr>
          <w:rFonts w:asciiTheme="majorHAnsi" w:hAnsiTheme="majorHAnsi"/>
        </w:rPr>
        <w:t xml:space="preserve"> application</w:t>
      </w:r>
      <w:r w:rsidR="00211EE7" w:rsidRPr="00FA13F6">
        <w:rPr>
          <w:rFonts w:asciiTheme="majorHAnsi" w:hAnsiTheme="majorHAnsi"/>
        </w:rPr>
        <w:t xml:space="preserve"> </w:t>
      </w:r>
      <w:r w:rsidR="008C2A04" w:rsidRPr="00FA13F6">
        <w:rPr>
          <w:rFonts w:asciiTheme="majorHAnsi" w:hAnsiTheme="majorHAnsi"/>
        </w:rPr>
        <w:t>via</w:t>
      </w:r>
      <w:r w:rsidR="003A275C" w:rsidRPr="00FA13F6">
        <w:rPr>
          <w:rFonts w:asciiTheme="majorHAnsi" w:hAnsiTheme="majorHAnsi"/>
        </w:rPr>
        <w:t xml:space="preserve"> a</w:t>
      </w:r>
      <w:r w:rsidR="00211EE7" w:rsidRPr="00FA13F6">
        <w:rPr>
          <w:rFonts w:asciiTheme="majorHAnsi" w:hAnsiTheme="majorHAnsi"/>
        </w:rPr>
        <w:t xml:space="preserve"> </w:t>
      </w:r>
      <w:r w:rsidR="0084084A" w:rsidRPr="00FA13F6">
        <w:rPr>
          <w:rFonts w:asciiTheme="majorHAnsi" w:hAnsiTheme="majorHAnsi"/>
        </w:rPr>
        <w:t>HRSA</w:t>
      </w:r>
      <w:r w:rsidR="002B4866" w:rsidRPr="00FA13F6">
        <w:rPr>
          <w:rFonts w:asciiTheme="majorHAnsi" w:hAnsiTheme="majorHAnsi"/>
        </w:rPr>
        <w:t xml:space="preserve"> Electronic Handbooks (</w:t>
      </w:r>
      <w:r w:rsidR="00211EE7" w:rsidRPr="00FA13F6">
        <w:rPr>
          <w:rFonts w:asciiTheme="majorHAnsi" w:hAnsiTheme="majorHAnsi"/>
        </w:rPr>
        <w:t>EHB</w:t>
      </w:r>
      <w:r w:rsidR="002B4866" w:rsidRPr="00FA13F6">
        <w:rPr>
          <w:rFonts w:asciiTheme="majorHAnsi" w:hAnsiTheme="majorHAnsi"/>
        </w:rPr>
        <w:t>)</w:t>
      </w:r>
      <w:r w:rsidR="003A275C" w:rsidRPr="00FA13F6">
        <w:rPr>
          <w:rFonts w:asciiTheme="majorHAnsi" w:hAnsiTheme="majorHAnsi"/>
        </w:rPr>
        <w:t xml:space="preserve"> email</w:t>
      </w:r>
      <w:r w:rsidR="00211EE7" w:rsidRPr="00FA13F6">
        <w:rPr>
          <w:rFonts w:asciiTheme="majorHAnsi" w:hAnsiTheme="majorHAnsi"/>
        </w:rPr>
        <w:t>.</w:t>
      </w:r>
    </w:p>
    <w:p w:rsidR="00406B54" w:rsidRDefault="00406B54" w:rsidP="002D0F24"/>
    <w:p w:rsidR="00304E3F" w:rsidRPr="002B4866" w:rsidRDefault="00252EB2" w:rsidP="002D0F24">
      <w:pPr>
        <w:pStyle w:val="Heading1"/>
        <w:spacing w:before="0" w:after="60"/>
        <w:rPr>
          <w:bCs w:val="0"/>
          <w:color w:val="auto"/>
          <w:sz w:val="24"/>
          <w:szCs w:val="24"/>
        </w:rPr>
      </w:pPr>
      <w:bookmarkStart w:id="4" w:name="_Toc449951370"/>
      <w:r w:rsidRPr="002B4866">
        <w:rPr>
          <w:bCs w:val="0"/>
          <w:color w:val="auto"/>
          <w:sz w:val="24"/>
          <w:szCs w:val="24"/>
        </w:rPr>
        <w:t>Summary of Funding</w:t>
      </w:r>
      <w:bookmarkEnd w:id="4"/>
    </w:p>
    <w:p w:rsidR="005405A2" w:rsidRPr="002B4866" w:rsidRDefault="00252EB2" w:rsidP="002D0F24">
      <w:pPr>
        <w:rPr>
          <w:rFonts w:asciiTheme="majorHAnsi" w:hAnsiTheme="majorHAnsi"/>
        </w:rPr>
      </w:pPr>
      <w:r w:rsidRPr="002B4866">
        <w:rPr>
          <w:rFonts w:asciiTheme="majorHAnsi" w:hAnsiTheme="majorHAnsi"/>
        </w:rPr>
        <w:t>Eligible heal</w:t>
      </w:r>
      <w:r w:rsidR="00243CF6" w:rsidRPr="002B4866">
        <w:rPr>
          <w:rFonts w:asciiTheme="majorHAnsi" w:hAnsiTheme="majorHAnsi"/>
        </w:rPr>
        <w:t>th centers may request up to $35</w:t>
      </w:r>
      <w:r w:rsidRPr="002B4866">
        <w:rPr>
          <w:rFonts w:asciiTheme="majorHAnsi" w:hAnsiTheme="majorHAnsi"/>
        </w:rPr>
        <w:t xml:space="preserve">,000 in </w:t>
      </w:r>
      <w:r w:rsidR="002B4866" w:rsidRPr="002B4866">
        <w:rPr>
          <w:rFonts w:asciiTheme="majorHAnsi" w:hAnsiTheme="majorHAnsi"/>
        </w:rPr>
        <w:t xml:space="preserve">one-time </w:t>
      </w:r>
      <w:r w:rsidRPr="002B4866">
        <w:rPr>
          <w:rFonts w:asciiTheme="majorHAnsi" w:hAnsiTheme="majorHAnsi"/>
        </w:rPr>
        <w:t xml:space="preserve">supplemental funds. </w:t>
      </w:r>
      <w:r w:rsidR="003454C9">
        <w:rPr>
          <w:rFonts w:asciiTheme="majorHAnsi" w:hAnsiTheme="majorHAnsi"/>
        </w:rPr>
        <w:t xml:space="preserve"> </w:t>
      </w:r>
      <w:r w:rsidR="005405A2" w:rsidRPr="002B4866">
        <w:rPr>
          <w:rFonts w:asciiTheme="majorHAnsi" w:hAnsiTheme="majorHAnsi"/>
        </w:rPr>
        <w:t xml:space="preserve">Depending on the number of approvable applications, HRSA may adjust award amounts consistent with funds available for this </w:t>
      </w:r>
      <w:r w:rsidR="002415BA">
        <w:rPr>
          <w:rFonts w:asciiTheme="majorHAnsi" w:hAnsiTheme="majorHAnsi"/>
        </w:rPr>
        <w:t xml:space="preserve">funding </w:t>
      </w:r>
      <w:r w:rsidR="005405A2" w:rsidRPr="002B4866">
        <w:rPr>
          <w:rFonts w:asciiTheme="majorHAnsi" w:hAnsiTheme="majorHAnsi"/>
        </w:rPr>
        <w:t>opportunity.  Cost sharing or matching is not require</w:t>
      </w:r>
      <w:r w:rsidR="005B7630">
        <w:rPr>
          <w:rFonts w:asciiTheme="majorHAnsi" w:hAnsiTheme="majorHAnsi"/>
        </w:rPr>
        <w:t>d</w:t>
      </w:r>
      <w:r w:rsidR="005405A2" w:rsidRPr="002B4866">
        <w:rPr>
          <w:rFonts w:asciiTheme="majorHAnsi" w:hAnsiTheme="majorHAnsi"/>
        </w:rPr>
        <w:t xml:space="preserve">.  </w:t>
      </w:r>
      <w:r w:rsidR="005A022D">
        <w:rPr>
          <w:rFonts w:asciiTheme="majorHAnsi" w:hAnsiTheme="majorHAnsi"/>
        </w:rPr>
        <w:t xml:space="preserve">FY 2016 </w:t>
      </w:r>
      <w:r w:rsidRPr="002B4866">
        <w:rPr>
          <w:rFonts w:asciiTheme="majorHAnsi" w:hAnsiTheme="majorHAnsi"/>
        </w:rPr>
        <w:t>PCMH</w:t>
      </w:r>
      <w:r w:rsidR="005405A2" w:rsidRPr="002B4866">
        <w:rPr>
          <w:rFonts w:asciiTheme="majorHAnsi" w:hAnsiTheme="majorHAnsi"/>
        </w:rPr>
        <w:t xml:space="preserve"> </w:t>
      </w:r>
      <w:r w:rsidR="005B7630">
        <w:rPr>
          <w:rFonts w:asciiTheme="majorHAnsi" w:hAnsiTheme="majorHAnsi"/>
        </w:rPr>
        <w:t xml:space="preserve">supplemental </w:t>
      </w:r>
      <w:r w:rsidR="005405A2" w:rsidRPr="002B4866">
        <w:rPr>
          <w:rFonts w:asciiTheme="majorHAnsi" w:hAnsiTheme="majorHAnsi"/>
        </w:rPr>
        <w:t xml:space="preserve">funding </w:t>
      </w:r>
      <w:r w:rsidR="006A385C" w:rsidRPr="006A385C">
        <w:rPr>
          <w:rFonts w:asciiTheme="majorHAnsi" w:hAnsiTheme="majorHAnsi"/>
        </w:rPr>
        <w:t xml:space="preserve">must be requested by and </w:t>
      </w:r>
      <w:r w:rsidR="005405A2" w:rsidRPr="002B4866">
        <w:rPr>
          <w:rFonts w:asciiTheme="majorHAnsi" w:hAnsiTheme="majorHAnsi"/>
        </w:rPr>
        <w:t xml:space="preserve">will be provided to each </w:t>
      </w:r>
      <w:r w:rsidRPr="002B4866">
        <w:rPr>
          <w:rFonts w:asciiTheme="majorHAnsi" w:hAnsiTheme="majorHAnsi"/>
        </w:rPr>
        <w:t>award recipient</w:t>
      </w:r>
      <w:r w:rsidR="005405A2" w:rsidRPr="002B4866">
        <w:rPr>
          <w:rFonts w:asciiTheme="majorHAnsi" w:hAnsiTheme="majorHAnsi"/>
        </w:rPr>
        <w:t xml:space="preserve"> in the same special population</w:t>
      </w:r>
      <w:r w:rsidRPr="002B4866">
        <w:rPr>
          <w:rStyle w:val="FootnoteReference"/>
          <w:rFonts w:asciiTheme="majorHAnsi" w:hAnsiTheme="majorHAnsi"/>
        </w:rPr>
        <w:footnoteReference w:id="4"/>
      </w:r>
      <w:r w:rsidRPr="002B4866">
        <w:rPr>
          <w:rFonts w:asciiTheme="majorHAnsi" w:hAnsiTheme="majorHAnsi"/>
        </w:rPr>
        <w:t xml:space="preserve"> </w:t>
      </w:r>
      <w:r w:rsidR="005405A2" w:rsidRPr="002B4866">
        <w:rPr>
          <w:rFonts w:asciiTheme="majorHAnsi" w:hAnsiTheme="majorHAnsi"/>
        </w:rPr>
        <w:t xml:space="preserve">funding proportion(s) as the existing </w:t>
      </w:r>
      <w:r w:rsidR="00DE59DE">
        <w:rPr>
          <w:rFonts w:asciiTheme="majorHAnsi" w:hAnsiTheme="majorHAnsi"/>
        </w:rPr>
        <w:t xml:space="preserve">Health Center Program </w:t>
      </w:r>
      <w:r w:rsidR="006E6053">
        <w:rPr>
          <w:rFonts w:asciiTheme="majorHAnsi" w:hAnsiTheme="majorHAnsi"/>
        </w:rPr>
        <w:t>operational grant funding.</w:t>
      </w:r>
    </w:p>
    <w:p w:rsidR="008A4CA7" w:rsidRPr="002B4866" w:rsidRDefault="008A4CA7" w:rsidP="002D0F24">
      <w:pPr>
        <w:rPr>
          <w:rFonts w:asciiTheme="majorHAnsi" w:hAnsiTheme="majorHAnsi"/>
          <w:bCs/>
        </w:rPr>
      </w:pPr>
    </w:p>
    <w:p w:rsidR="008A4CA7" w:rsidRPr="002B4866" w:rsidRDefault="005A022D" w:rsidP="002D0F24">
      <w:pPr>
        <w:rPr>
          <w:rFonts w:asciiTheme="majorHAnsi" w:hAnsiTheme="majorHAnsi"/>
          <w:bCs/>
        </w:rPr>
      </w:pPr>
      <w:r>
        <w:rPr>
          <w:rFonts w:asciiTheme="majorHAnsi" w:hAnsiTheme="majorHAnsi"/>
          <w:bCs/>
        </w:rPr>
        <w:t xml:space="preserve">FY 2016 </w:t>
      </w:r>
      <w:r w:rsidR="008A4CA7" w:rsidRPr="002B4866">
        <w:rPr>
          <w:rFonts w:asciiTheme="majorHAnsi" w:hAnsiTheme="majorHAnsi"/>
          <w:bCs/>
        </w:rPr>
        <w:t xml:space="preserve">PCMH supplemental funding must be expended within </w:t>
      </w:r>
      <w:r w:rsidR="00233BC4">
        <w:rPr>
          <w:rFonts w:asciiTheme="majorHAnsi" w:hAnsiTheme="majorHAnsi"/>
          <w:bCs/>
        </w:rPr>
        <w:t>12 months</w:t>
      </w:r>
      <w:r w:rsidR="008A4CA7" w:rsidRPr="002B4866">
        <w:rPr>
          <w:rFonts w:asciiTheme="majorHAnsi" w:hAnsiTheme="majorHAnsi"/>
          <w:bCs/>
        </w:rPr>
        <w:t xml:space="preserve"> of award.</w:t>
      </w:r>
      <w:r w:rsidR="006E6053" w:rsidRPr="006E6053">
        <w:rPr>
          <w:rFonts w:asciiTheme="majorHAnsi" w:hAnsiTheme="majorHAnsi"/>
        </w:rPr>
        <w:t xml:space="preserve"> </w:t>
      </w:r>
      <w:r w:rsidR="006E6053">
        <w:rPr>
          <w:rFonts w:asciiTheme="majorHAnsi" w:hAnsiTheme="majorHAnsi"/>
        </w:rPr>
        <w:t xml:space="preserve"> </w:t>
      </w:r>
      <w:r w:rsidR="006E6053" w:rsidRPr="00270A24">
        <w:rPr>
          <w:rFonts w:asciiTheme="majorHAnsi" w:hAnsiTheme="majorHAnsi"/>
        </w:rPr>
        <w:t>Award recipients may request to carry over a portion of these funds to use in the upcoming budget period as needed.</w:t>
      </w:r>
    </w:p>
    <w:p w:rsidR="005405A2" w:rsidRPr="002B4866" w:rsidRDefault="005405A2" w:rsidP="002D0F24">
      <w:pPr>
        <w:rPr>
          <w:rFonts w:asciiTheme="majorHAnsi" w:hAnsiTheme="majorHAnsi"/>
        </w:rPr>
      </w:pPr>
    </w:p>
    <w:p w:rsidR="0091693F" w:rsidRPr="002B4866" w:rsidRDefault="006E6053" w:rsidP="002D0F24">
      <w:pPr>
        <w:pStyle w:val="Heading1"/>
        <w:spacing w:before="0" w:after="60"/>
        <w:rPr>
          <w:bCs w:val="0"/>
          <w:color w:val="auto"/>
          <w:sz w:val="24"/>
          <w:szCs w:val="24"/>
        </w:rPr>
      </w:pPr>
      <w:bookmarkStart w:id="5" w:name="_Toc449951371"/>
      <w:r>
        <w:rPr>
          <w:bCs w:val="0"/>
          <w:color w:val="auto"/>
          <w:sz w:val="24"/>
          <w:szCs w:val="24"/>
        </w:rPr>
        <w:t>Requirements</w:t>
      </w:r>
      <w:bookmarkEnd w:id="5"/>
    </w:p>
    <w:p w:rsidR="00B477BD" w:rsidRDefault="00B477BD" w:rsidP="002D0F24">
      <w:pPr>
        <w:rPr>
          <w:rFonts w:asciiTheme="majorHAnsi" w:hAnsiTheme="majorHAnsi"/>
        </w:rPr>
      </w:pPr>
      <w:r>
        <w:rPr>
          <w:rFonts w:asciiTheme="majorHAnsi" w:hAnsiTheme="majorHAnsi"/>
        </w:rPr>
        <w:t xml:space="preserve">All applications must </w:t>
      </w:r>
      <w:r w:rsidR="001F01E6">
        <w:rPr>
          <w:rFonts w:asciiTheme="majorHAnsi" w:hAnsiTheme="majorHAnsi"/>
        </w:rPr>
        <w:t xml:space="preserve">indicate </w:t>
      </w:r>
      <w:r>
        <w:rPr>
          <w:rFonts w:asciiTheme="majorHAnsi" w:hAnsiTheme="majorHAnsi"/>
        </w:rPr>
        <w:t xml:space="preserve">the following </w:t>
      </w:r>
      <w:r w:rsidR="00227C61">
        <w:rPr>
          <w:rFonts w:asciiTheme="majorHAnsi" w:hAnsiTheme="majorHAnsi"/>
        </w:rPr>
        <w:t>on</w:t>
      </w:r>
      <w:r>
        <w:rPr>
          <w:rFonts w:asciiTheme="majorHAnsi" w:hAnsiTheme="majorHAnsi"/>
        </w:rPr>
        <w:t xml:space="preserve"> the </w:t>
      </w:r>
      <w:r w:rsidRPr="00B477BD">
        <w:rPr>
          <w:rFonts w:asciiTheme="majorHAnsi" w:hAnsiTheme="majorHAnsi"/>
        </w:rPr>
        <w:t>Project Overview Form</w:t>
      </w:r>
      <w:r>
        <w:rPr>
          <w:rFonts w:asciiTheme="majorHAnsi" w:hAnsiTheme="majorHAnsi"/>
        </w:rPr>
        <w:t xml:space="preserve"> </w:t>
      </w:r>
      <w:r w:rsidR="00227C61">
        <w:rPr>
          <w:rFonts w:asciiTheme="majorHAnsi" w:hAnsiTheme="majorHAnsi"/>
        </w:rPr>
        <w:t>in</w:t>
      </w:r>
      <w:r>
        <w:rPr>
          <w:rFonts w:asciiTheme="majorHAnsi" w:hAnsiTheme="majorHAnsi"/>
        </w:rPr>
        <w:t xml:space="preserve"> the FY 2016 PCMH supplemental funding application</w:t>
      </w:r>
      <w:r w:rsidR="00FE5066">
        <w:rPr>
          <w:rFonts w:asciiTheme="majorHAnsi" w:hAnsiTheme="majorHAnsi"/>
        </w:rPr>
        <w:t xml:space="preserve"> in EHB</w:t>
      </w:r>
      <w:r>
        <w:rPr>
          <w:rFonts w:asciiTheme="majorHAnsi" w:hAnsiTheme="majorHAnsi"/>
        </w:rPr>
        <w:t>:</w:t>
      </w:r>
    </w:p>
    <w:p w:rsidR="00B477BD" w:rsidRDefault="00B477BD" w:rsidP="002D0F24">
      <w:pPr>
        <w:rPr>
          <w:rFonts w:asciiTheme="majorHAnsi" w:hAnsiTheme="majorHAnsi"/>
        </w:rPr>
      </w:pPr>
    </w:p>
    <w:p w:rsidR="00167A96" w:rsidRPr="00B477BD" w:rsidRDefault="00B477BD" w:rsidP="002D0F24">
      <w:pPr>
        <w:pStyle w:val="ListParagraph"/>
        <w:numPr>
          <w:ilvl w:val="0"/>
          <w:numId w:val="31"/>
        </w:numPr>
        <w:rPr>
          <w:rFonts w:asciiTheme="majorHAnsi" w:hAnsiTheme="majorHAnsi"/>
        </w:rPr>
      </w:pPr>
      <w:r w:rsidRPr="00B477BD">
        <w:rPr>
          <w:rFonts w:asciiTheme="majorHAnsi" w:hAnsiTheme="majorHAnsi"/>
        </w:rPr>
        <w:t xml:space="preserve">FY 2016 PCMH </w:t>
      </w:r>
      <w:r w:rsidR="00167A96" w:rsidRPr="00B477BD">
        <w:rPr>
          <w:rFonts w:asciiTheme="majorHAnsi" w:hAnsiTheme="majorHAnsi"/>
        </w:rPr>
        <w:t>supplemental funds will be used to:</w:t>
      </w:r>
    </w:p>
    <w:p w:rsidR="006F5ED1" w:rsidRPr="006F5ED1" w:rsidRDefault="006F5ED1" w:rsidP="002D0F24">
      <w:pPr>
        <w:pStyle w:val="ListParagraph"/>
        <w:numPr>
          <w:ilvl w:val="0"/>
          <w:numId w:val="29"/>
        </w:numPr>
        <w:rPr>
          <w:rFonts w:asciiTheme="majorHAnsi" w:hAnsiTheme="majorHAnsi"/>
        </w:rPr>
      </w:pPr>
      <w:r w:rsidRPr="006F5ED1">
        <w:rPr>
          <w:rFonts w:asciiTheme="majorHAnsi" w:hAnsiTheme="majorHAnsi"/>
        </w:rPr>
        <w:t xml:space="preserve">Achieve </w:t>
      </w:r>
      <w:r w:rsidR="002E4823">
        <w:rPr>
          <w:rFonts w:asciiTheme="majorHAnsi" w:hAnsiTheme="majorHAnsi"/>
        </w:rPr>
        <w:t xml:space="preserve">PCMH </w:t>
      </w:r>
      <w:r w:rsidRPr="006F5ED1">
        <w:rPr>
          <w:rFonts w:asciiTheme="majorHAnsi" w:hAnsiTheme="majorHAnsi"/>
        </w:rPr>
        <w:t xml:space="preserve">recognition for one or more sites in the health center’s approved Health Center Program scope of project (i.e., listed on the health center’s Form 5B: Service Sites) that are not currently </w:t>
      </w:r>
      <w:r w:rsidR="001F01E6">
        <w:rPr>
          <w:rFonts w:asciiTheme="majorHAnsi" w:hAnsiTheme="majorHAnsi"/>
        </w:rPr>
        <w:t xml:space="preserve">PCMH </w:t>
      </w:r>
      <w:r w:rsidRPr="006F5ED1">
        <w:rPr>
          <w:rFonts w:asciiTheme="majorHAnsi" w:hAnsiTheme="majorHAnsi"/>
        </w:rPr>
        <w:t>recognized; and/or</w:t>
      </w:r>
      <w:r w:rsidRPr="006F5ED1">
        <w:rPr>
          <w:rFonts w:asciiTheme="majorHAnsi" w:hAnsiTheme="majorHAnsi"/>
        </w:rPr>
        <w:tab/>
      </w:r>
    </w:p>
    <w:p w:rsidR="006F5ED1" w:rsidRPr="006F5ED1" w:rsidRDefault="00056B3E" w:rsidP="002D0F24">
      <w:pPr>
        <w:pStyle w:val="ListParagraph"/>
        <w:numPr>
          <w:ilvl w:val="0"/>
          <w:numId w:val="29"/>
        </w:numPr>
        <w:rPr>
          <w:rFonts w:asciiTheme="majorHAnsi" w:hAnsiTheme="majorHAnsi"/>
        </w:rPr>
      </w:pPr>
      <w:r>
        <w:rPr>
          <w:rFonts w:asciiTheme="majorHAnsi" w:hAnsiTheme="majorHAnsi"/>
        </w:rPr>
        <w:t>Increase</w:t>
      </w:r>
      <w:r w:rsidR="006F5ED1" w:rsidRPr="006F5ED1">
        <w:rPr>
          <w:rFonts w:asciiTheme="majorHAnsi" w:hAnsiTheme="majorHAnsi"/>
        </w:rPr>
        <w:t xml:space="preserve"> the </w:t>
      </w:r>
      <w:r w:rsidR="006F5ED1">
        <w:rPr>
          <w:rFonts w:asciiTheme="majorHAnsi" w:hAnsiTheme="majorHAnsi"/>
        </w:rPr>
        <w:t xml:space="preserve">level of </w:t>
      </w:r>
      <w:r w:rsidR="002E4823">
        <w:rPr>
          <w:rFonts w:asciiTheme="majorHAnsi" w:hAnsiTheme="majorHAnsi"/>
        </w:rPr>
        <w:t xml:space="preserve">PCMH </w:t>
      </w:r>
      <w:r w:rsidR="006F5ED1">
        <w:rPr>
          <w:rFonts w:asciiTheme="majorHAnsi" w:hAnsiTheme="majorHAnsi"/>
        </w:rPr>
        <w:t>recognition</w:t>
      </w:r>
      <w:r w:rsidR="006F5ED1" w:rsidRPr="006F5ED1">
        <w:rPr>
          <w:rFonts w:asciiTheme="majorHAnsi" w:hAnsiTheme="majorHAnsi"/>
        </w:rPr>
        <w:t xml:space="preserve"> </w:t>
      </w:r>
      <w:r w:rsidR="00141551">
        <w:rPr>
          <w:rFonts w:asciiTheme="majorHAnsi" w:hAnsiTheme="majorHAnsi"/>
        </w:rPr>
        <w:t xml:space="preserve">and/or </w:t>
      </w:r>
      <w:r w:rsidR="002E4823">
        <w:rPr>
          <w:rFonts w:asciiTheme="majorHAnsi" w:hAnsiTheme="majorHAnsi"/>
        </w:rPr>
        <w:t>further optimize the use</w:t>
      </w:r>
      <w:r w:rsidR="00141551">
        <w:rPr>
          <w:rFonts w:asciiTheme="majorHAnsi" w:hAnsiTheme="majorHAnsi"/>
        </w:rPr>
        <w:t xml:space="preserve"> of </w:t>
      </w:r>
      <w:r w:rsidR="002E4823">
        <w:rPr>
          <w:rFonts w:asciiTheme="majorHAnsi" w:hAnsiTheme="majorHAnsi"/>
        </w:rPr>
        <w:t xml:space="preserve">the PCMH </w:t>
      </w:r>
      <w:r w:rsidR="002E4823" w:rsidRPr="002E4823">
        <w:rPr>
          <w:rFonts w:asciiTheme="majorHAnsi" w:hAnsiTheme="majorHAnsi"/>
        </w:rPr>
        <w:t xml:space="preserve">model for </w:t>
      </w:r>
      <w:r w:rsidR="006F5ED1" w:rsidRPr="006F5ED1">
        <w:rPr>
          <w:rFonts w:asciiTheme="majorHAnsi" w:hAnsiTheme="majorHAnsi"/>
        </w:rPr>
        <w:t xml:space="preserve">one or more sites </w:t>
      </w:r>
      <w:r w:rsidR="00600961">
        <w:rPr>
          <w:rFonts w:asciiTheme="majorHAnsi" w:hAnsiTheme="majorHAnsi"/>
        </w:rPr>
        <w:t xml:space="preserve">in </w:t>
      </w:r>
      <w:r w:rsidR="00E13C38">
        <w:rPr>
          <w:rFonts w:asciiTheme="majorHAnsi" w:hAnsiTheme="majorHAnsi"/>
        </w:rPr>
        <w:t xml:space="preserve">the health center’s approved </w:t>
      </w:r>
      <w:r w:rsidR="00600961">
        <w:rPr>
          <w:rFonts w:asciiTheme="majorHAnsi" w:hAnsiTheme="majorHAnsi"/>
        </w:rPr>
        <w:t xml:space="preserve">scope </w:t>
      </w:r>
      <w:r w:rsidR="00E13C38">
        <w:rPr>
          <w:rFonts w:asciiTheme="majorHAnsi" w:hAnsiTheme="majorHAnsi"/>
        </w:rPr>
        <w:t xml:space="preserve">of project </w:t>
      </w:r>
      <w:r w:rsidR="006F5ED1" w:rsidRPr="006F5ED1">
        <w:rPr>
          <w:rFonts w:asciiTheme="majorHAnsi" w:hAnsiTheme="majorHAnsi"/>
        </w:rPr>
        <w:t xml:space="preserve">that are currently </w:t>
      </w:r>
      <w:r w:rsidR="001F01E6">
        <w:rPr>
          <w:rFonts w:asciiTheme="majorHAnsi" w:hAnsiTheme="majorHAnsi"/>
        </w:rPr>
        <w:t xml:space="preserve">PCMH </w:t>
      </w:r>
      <w:r w:rsidR="006F5ED1" w:rsidRPr="006F5ED1">
        <w:rPr>
          <w:rFonts w:asciiTheme="majorHAnsi" w:hAnsiTheme="majorHAnsi"/>
        </w:rPr>
        <w:t>recognized.</w:t>
      </w:r>
      <w:r w:rsidR="006F5ED1" w:rsidRPr="006F5ED1">
        <w:rPr>
          <w:rFonts w:asciiTheme="majorHAnsi" w:hAnsiTheme="majorHAnsi"/>
        </w:rPr>
        <w:tab/>
      </w:r>
    </w:p>
    <w:p w:rsidR="00CF1C70" w:rsidRDefault="00CF1C70" w:rsidP="002D0F24">
      <w:pPr>
        <w:pStyle w:val="ListParagraph"/>
        <w:rPr>
          <w:rFonts w:asciiTheme="majorHAnsi" w:hAnsiTheme="majorHAnsi"/>
        </w:rPr>
      </w:pPr>
    </w:p>
    <w:p w:rsidR="00B477BD" w:rsidRPr="00B477BD" w:rsidRDefault="00B477BD" w:rsidP="002D0F24">
      <w:pPr>
        <w:pStyle w:val="ListParagraph"/>
        <w:numPr>
          <w:ilvl w:val="0"/>
          <w:numId w:val="31"/>
        </w:numPr>
        <w:rPr>
          <w:rFonts w:asciiTheme="majorHAnsi" w:hAnsiTheme="majorHAnsi"/>
        </w:rPr>
      </w:pPr>
      <w:r>
        <w:rPr>
          <w:rFonts w:asciiTheme="majorHAnsi" w:hAnsiTheme="majorHAnsi"/>
        </w:rPr>
        <w:t xml:space="preserve">Proposed activities will </w:t>
      </w:r>
      <w:r w:rsidRPr="00B477BD">
        <w:rPr>
          <w:rFonts w:asciiTheme="majorHAnsi" w:hAnsiTheme="majorHAnsi"/>
        </w:rPr>
        <w:t>enhance one or more of the PCMH Core Functions and Attributes defined by the Agency for Healthcare Research and Quality (AHRQ)</w:t>
      </w:r>
      <w:r w:rsidR="00227C61">
        <w:rPr>
          <w:rStyle w:val="FootnoteReference"/>
          <w:rFonts w:asciiTheme="majorHAnsi" w:hAnsiTheme="majorHAnsi"/>
        </w:rPr>
        <w:footnoteReference w:id="5"/>
      </w:r>
      <w:r w:rsidR="008C2A04">
        <w:rPr>
          <w:rFonts w:asciiTheme="majorHAnsi" w:hAnsiTheme="majorHAnsi"/>
        </w:rPr>
        <w:t xml:space="preserve"> as</w:t>
      </w:r>
      <w:r w:rsidR="00196BC0">
        <w:rPr>
          <w:rFonts w:asciiTheme="majorHAnsi" w:hAnsiTheme="majorHAnsi"/>
        </w:rPr>
        <w:t>:</w:t>
      </w:r>
    </w:p>
    <w:p w:rsidR="005B7630" w:rsidRPr="001D3A3B" w:rsidRDefault="005B7630" w:rsidP="002D0F24">
      <w:pPr>
        <w:pStyle w:val="ListParagraph"/>
        <w:numPr>
          <w:ilvl w:val="0"/>
          <w:numId w:val="32"/>
        </w:numPr>
        <w:rPr>
          <w:rFonts w:asciiTheme="majorHAnsi" w:hAnsiTheme="majorHAnsi"/>
        </w:rPr>
      </w:pPr>
      <w:r w:rsidRPr="001D3A3B">
        <w:rPr>
          <w:rFonts w:asciiTheme="majorHAnsi" w:hAnsiTheme="majorHAnsi"/>
        </w:rPr>
        <w:t>Comprehensive Care</w:t>
      </w:r>
    </w:p>
    <w:p w:rsidR="005B7630" w:rsidRPr="001D3A3B" w:rsidRDefault="005B7630" w:rsidP="002D0F24">
      <w:pPr>
        <w:pStyle w:val="ListParagraph"/>
        <w:numPr>
          <w:ilvl w:val="0"/>
          <w:numId w:val="32"/>
        </w:numPr>
        <w:rPr>
          <w:rFonts w:asciiTheme="majorHAnsi" w:hAnsiTheme="majorHAnsi"/>
        </w:rPr>
      </w:pPr>
      <w:r w:rsidRPr="001D3A3B">
        <w:rPr>
          <w:rFonts w:asciiTheme="majorHAnsi" w:hAnsiTheme="majorHAnsi"/>
        </w:rPr>
        <w:t>Patient-Centered</w:t>
      </w:r>
    </w:p>
    <w:p w:rsidR="005B7630" w:rsidRPr="001D3A3B" w:rsidRDefault="005B7630" w:rsidP="002D0F24">
      <w:pPr>
        <w:pStyle w:val="ListParagraph"/>
        <w:numPr>
          <w:ilvl w:val="0"/>
          <w:numId w:val="32"/>
        </w:numPr>
        <w:rPr>
          <w:rFonts w:asciiTheme="majorHAnsi" w:hAnsiTheme="majorHAnsi"/>
        </w:rPr>
      </w:pPr>
      <w:r w:rsidRPr="001D3A3B">
        <w:rPr>
          <w:rFonts w:asciiTheme="majorHAnsi" w:hAnsiTheme="majorHAnsi"/>
        </w:rPr>
        <w:t>Coordinated Care</w:t>
      </w:r>
    </w:p>
    <w:p w:rsidR="005B7630" w:rsidRPr="001D3A3B" w:rsidRDefault="005B7630" w:rsidP="002D0F24">
      <w:pPr>
        <w:pStyle w:val="ListParagraph"/>
        <w:numPr>
          <w:ilvl w:val="0"/>
          <w:numId w:val="32"/>
        </w:numPr>
        <w:rPr>
          <w:rFonts w:asciiTheme="majorHAnsi" w:hAnsiTheme="majorHAnsi"/>
        </w:rPr>
      </w:pPr>
      <w:r w:rsidRPr="001D3A3B">
        <w:rPr>
          <w:rFonts w:asciiTheme="majorHAnsi" w:hAnsiTheme="majorHAnsi"/>
        </w:rPr>
        <w:t>Accessible Services</w:t>
      </w:r>
    </w:p>
    <w:p w:rsidR="005B7630" w:rsidRPr="001D3A3B" w:rsidRDefault="005B7630" w:rsidP="002D0F24">
      <w:pPr>
        <w:pStyle w:val="ListParagraph"/>
        <w:numPr>
          <w:ilvl w:val="0"/>
          <w:numId w:val="32"/>
        </w:numPr>
        <w:rPr>
          <w:rFonts w:asciiTheme="majorHAnsi" w:hAnsiTheme="majorHAnsi"/>
        </w:rPr>
      </w:pPr>
      <w:r w:rsidRPr="001D3A3B">
        <w:rPr>
          <w:rFonts w:asciiTheme="majorHAnsi" w:hAnsiTheme="majorHAnsi"/>
        </w:rPr>
        <w:t>Quality and Safety</w:t>
      </w:r>
    </w:p>
    <w:p w:rsidR="003C34AF" w:rsidRDefault="003C34AF" w:rsidP="002D0F24">
      <w:pPr>
        <w:rPr>
          <w:rFonts w:asciiTheme="majorHAnsi" w:hAnsiTheme="majorHAnsi"/>
        </w:rPr>
      </w:pPr>
    </w:p>
    <w:p w:rsidR="004613A2" w:rsidRPr="004E36E3" w:rsidRDefault="004613A2" w:rsidP="006E6053">
      <w:pPr>
        <w:keepNext/>
        <w:rPr>
          <w:rFonts w:asciiTheme="majorHAnsi" w:hAnsiTheme="majorHAnsi"/>
          <w:b/>
        </w:rPr>
      </w:pPr>
      <w:r w:rsidRPr="004E36E3">
        <w:rPr>
          <w:rFonts w:asciiTheme="majorHAnsi" w:hAnsiTheme="majorHAnsi"/>
          <w:b/>
        </w:rPr>
        <w:t>Allowable Activities</w:t>
      </w:r>
    </w:p>
    <w:p w:rsidR="005F72C1" w:rsidRDefault="00EF6CCA" w:rsidP="00DB7A81">
      <w:pPr>
        <w:rPr>
          <w:rFonts w:asciiTheme="majorHAnsi" w:hAnsiTheme="majorHAnsi"/>
        </w:rPr>
      </w:pPr>
      <w:r w:rsidRPr="002B4866">
        <w:rPr>
          <w:rFonts w:asciiTheme="majorHAnsi" w:hAnsiTheme="majorHAnsi"/>
        </w:rPr>
        <w:t>A</w:t>
      </w:r>
      <w:r w:rsidR="0009129C">
        <w:rPr>
          <w:rFonts w:asciiTheme="majorHAnsi" w:hAnsiTheme="majorHAnsi"/>
        </w:rPr>
        <w:t>llowable a</w:t>
      </w:r>
      <w:r w:rsidRPr="002B4866">
        <w:rPr>
          <w:rFonts w:asciiTheme="majorHAnsi" w:hAnsiTheme="majorHAnsi"/>
        </w:rPr>
        <w:t xml:space="preserve">ctivities </w:t>
      </w:r>
      <w:r w:rsidR="007446FD" w:rsidRPr="007446FD">
        <w:rPr>
          <w:rFonts w:asciiTheme="majorHAnsi" w:hAnsiTheme="majorHAnsi"/>
        </w:rPr>
        <w:t>support achievement</w:t>
      </w:r>
      <w:r w:rsidR="00913246">
        <w:rPr>
          <w:rFonts w:asciiTheme="majorHAnsi" w:hAnsiTheme="majorHAnsi"/>
        </w:rPr>
        <w:t xml:space="preserve">, </w:t>
      </w:r>
      <w:r w:rsidR="009A3EA6">
        <w:rPr>
          <w:rFonts w:asciiTheme="majorHAnsi" w:hAnsiTheme="majorHAnsi"/>
        </w:rPr>
        <w:t>expansion</w:t>
      </w:r>
      <w:r w:rsidR="00913246">
        <w:rPr>
          <w:rFonts w:asciiTheme="majorHAnsi" w:hAnsiTheme="majorHAnsi"/>
        </w:rPr>
        <w:t>, and/or optimization</w:t>
      </w:r>
      <w:r w:rsidR="007446FD" w:rsidRPr="007446FD">
        <w:rPr>
          <w:rFonts w:asciiTheme="majorHAnsi" w:hAnsiTheme="majorHAnsi"/>
        </w:rPr>
        <w:t xml:space="preserve"> of PCMH recognition, including practice redesign, implementation of team-based models of service delivery, necessary system upgrades, and staff/consultant time dedicated to PCMH developmental</w:t>
      </w:r>
      <w:r w:rsidR="002E4823">
        <w:rPr>
          <w:rFonts w:asciiTheme="majorHAnsi" w:hAnsiTheme="majorHAnsi"/>
        </w:rPr>
        <w:t xml:space="preserve"> and/or optimization</w:t>
      </w:r>
      <w:r w:rsidR="007446FD" w:rsidRPr="007446FD">
        <w:rPr>
          <w:rFonts w:asciiTheme="majorHAnsi" w:hAnsiTheme="majorHAnsi"/>
        </w:rPr>
        <w:t xml:space="preserve"> efforts</w:t>
      </w:r>
      <w:r w:rsidR="004613A2">
        <w:rPr>
          <w:rFonts w:asciiTheme="majorHAnsi" w:hAnsiTheme="majorHAnsi"/>
        </w:rPr>
        <w:t>, including</w:t>
      </w:r>
      <w:r w:rsidR="005F72C1">
        <w:rPr>
          <w:rFonts w:asciiTheme="majorHAnsi" w:hAnsiTheme="majorHAnsi"/>
        </w:rPr>
        <w:t xml:space="preserve"> expand</w:t>
      </w:r>
      <w:r w:rsidR="004613A2">
        <w:rPr>
          <w:rFonts w:asciiTheme="majorHAnsi" w:hAnsiTheme="majorHAnsi"/>
        </w:rPr>
        <w:t>ing</w:t>
      </w:r>
      <w:r w:rsidR="005F72C1">
        <w:rPr>
          <w:rFonts w:asciiTheme="majorHAnsi" w:hAnsiTheme="majorHAnsi"/>
        </w:rPr>
        <w:t xml:space="preserve"> upon existing transformation efforts </w:t>
      </w:r>
      <w:r w:rsidR="00DB7A81">
        <w:rPr>
          <w:rFonts w:asciiTheme="majorHAnsi" w:hAnsiTheme="majorHAnsi"/>
        </w:rPr>
        <w:t>to further optimize the PCMH model</w:t>
      </w:r>
      <w:r w:rsidR="00513350">
        <w:rPr>
          <w:rFonts w:asciiTheme="majorHAnsi" w:hAnsiTheme="majorHAnsi"/>
        </w:rPr>
        <w:t>.</w:t>
      </w:r>
    </w:p>
    <w:p w:rsidR="004613A2" w:rsidRDefault="004613A2" w:rsidP="00DB7A81">
      <w:pPr>
        <w:rPr>
          <w:rFonts w:asciiTheme="majorHAnsi" w:hAnsiTheme="majorHAnsi"/>
        </w:rPr>
      </w:pPr>
    </w:p>
    <w:p w:rsidR="004613A2" w:rsidRDefault="004613A2" w:rsidP="004613A2">
      <w:pPr>
        <w:spacing w:after="240"/>
        <w:rPr>
          <w:rFonts w:asciiTheme="majorHAnsi" w:hAnsiTheme="majorHAnsi"/>
        </w:rPr>
      </w:pPr>
      <w:r w:rsidRPr="00DE4508">
        <w:rPr>
          <w:rFonts w:asciiTheme="majorHAnsi" w:hAnsiTheme="majorHAnsi"/>
        </w:rPr>
        <w:t xml:space="preserve">Applicants are encouraged to utilize PCMH self-assessment tools to identify areas </w:t>
      </w:r>
      <w:r>
        <w:rPr>
          <w:rFonts w:asciiTheme="majorHAnsi" w:hAnsiTheme="majorHAnsi"/>
        </w:rPr>
        <w:t xml:space="preserve">in need </w:t>
      </w:r>
      <w:r w:rsidRPr="00DE4508">
        <w:rPr>
          <w:rFonts w:asciiTheme="majorHAnsi" w:hAnsiTheme="majorHAnsi"/>
        </w:rPr>
        <w:t xml:space="preserve">of improvement.  Health centers </w:t>
      </w:r>
      <w:r>
        <w:rPr>
          <w:rFonts w:asciiTheme="majorHAnsi" w:hAnsiTheme="majorHAnsi"/>
        </w:rPr>
        <w:t>that</w:t>
      </w:r>
      <w:r w:rsidRPr="00DE4508">
        <w:rPr>
          <w:rFonts w:asciiTheme="majorHAnsi" w:hAnsiTheme="majorHAnsi"/>
        </w:rPr>
        <w:t xml:space="preserve"> have already </w:t>
      </w:r>
      <w:r>
        <w:rPr>
          <w:rFonts w:asciiTheme="majorHAnsi" w:hAnsiTheme="majorHAnsi"/>
        </w:rPr>
        <w:t>achieved</w:t>
      </w:r>
      <w:r w:rsidRPr="00DE4508">
        <w:rPr>
          <w:rFonts w:asciiTheme="majorHAnsi" w:hAnsiTheme="majorHAnsi"/>
        </w:rPr>
        <w:t xml:space="preserve"> PCMH recognition may use pre-survey or initial survey results to identify </w:t>
      </w:r>
      <w:r>
        <w:rPr>
          <w:rFonts w:asciiTheme="majorHAnsi" w:hAnsiTheme="majorHAnsi"/>
        </w:rPr>
        <w:t xml:space="preserve">remaining </w:t>
      </w:r>
      <w:r w:rsidRPr="00DE4508">
        <w:rPr>
          <w:rFonts w:asciiTheme="majorHAnsi" w:hAnsiTheme="majorHAnsi"/>
        </w:rPr>
        <w:t xml:space="preserve">areas </w:t>
      </w:r>
      <w:r>
        <w:rPr>
          <w:rFonts w:asciiTheme="majorHAnsi" w:hAnsiTheme="majorHAnsi"/>
        </w:rPr>
        <w:t>to</w:t>
      </w:r>
      <w:r w:rsidRPr="00DE4508">
        <w:rPr>
          <w:rFonts w:asciiTheme="majorHAnsi" w:hAnsiTheme="majorHAnsi"/>
        </w:rPr>
        <w:t xml:space="preserve"> improve or enhance.  </w:t>
      </w:r>
    </w:p>
    <w:p w:rsidR="004613A2" w:rsidRPr="002B4866" w:rsidRDefault="004613A2" w:rsidP="004613A2">
      <w:pPr>
        <w:spacing w:after="240"/>
        <w:rPr>
          <w:rFonts w:asciiTheme="majorHAnsi" w:hAnsiTheme="majorHAnsi"/>
        </w:rPr>
      </w:pPr>
      <w:r>
        <w:rPr>
          <w:rFonts w:asciiTheme="majorHAnsi" w:hAnsiTheme="majorHAnsi"/>
        </w:rPr>
        <w:t>A</w:t>
      </w:r>
      <w:r w:rsidRPr="002B4866">
        <w:rPr>
          <w:rFonts w:asciiTheme="majorHAnsi" w:hAnsiTheme="majorHAnsi"/>
        </w:rPr>
        <w:t>ctivities</w:t>
      </w:r>
      <w:r>
        <w:rPr>
          <w:rFonts w:asciiTheme="majorHAnsi" w:hAnsiTheme="majorHAnsi"/>
        </w:rPr>
        <w:t xml:space="preserve"> supported under this announcement must be implemented at sites</w:t>
      </w:r>
      <w:r w:rsidRPr="002B4866">
        <w:rPr>
          <w:rFonts w:asciiTheme="majorHAnsi" w:hAnsiTheme="majorHAnsi"/>
        </w:rPr>
        <w:t xml:space="preserve"> that are in </w:t>
      </w:r>
      <w:r>
        <w:rPr>
          <w:rFonts w:asciiTheme="majorHAnsi" w:hAnsiTheme="majorHAnsi"/>
        </w:rPr>
        <w:t>the</w:t>
      </w:r>
      <w:r w:rsidRPr="002B4866">
        <w:rPr>
          <w:rFonts w:asciiTheme="majorHAnsi" w:hAnsiTheme="majorHAnsi"/>
        </w:rPr>
        <w:t xml:space="preserve"> health center’s approved </w:t>
      </w:r>
      <w:r>
        <w:rPr>
          <w:rFonts w:asciiTheme="majorHAnsi" w:hAnsiTheme="majorHAnsi"/>
        </w:rPr>
        <w:t>Health Center Program scope of project</w:t>
      </w:r>
      <w:r w:rsidRPr="002B4866">
        <w:rPr>
          <w:rFonts w:asciiTheme="majorHAnsi" w:hAnsiTheme="majorHAnsi"/>
        </w:rPr>
        <w:t xml:space="preserve">. </w:t>
      </w:r>
      <w:r>
        <w:rPr>
          <w:rFonts w:asciiTheme="majorHAnsi" w:hAnsiTheme="majorHAnsi"/>
        </w:rPr>
        <w:t xml:space="preserve"> </w:t>
      </w:r>
    </w:p>
    <w:p w:rsidR="004613A2" w:rsidRPr="004E36E3" w:rsidRDefault="004613A2" w:rsidP="00DB7A81">
      <w:pPr>
        <w:rPr>
          <w:rFonts w:asciiTheme="majorHAnsi" w:hAnsiTheme="majorHAnsi"/>
          <w:b/>
        </w:rPr>
      </w:pPr>
      <w:r w:rsidRPr="004E36E3">
        <w:rPr>
          <w:rFonts w:asciiTheme="majorHAnsi" w:hAnsiTheme="majorHAnsi"/>
          <w:b/>
        </w:rPr>
        <w:t>Allowable Costs</w:t>
      </w:r>
    </w:p>
    <w:p w:rsidR="0091693F" w:rsidRPr="002B4866" w:rsidRDefault="00270A24" w:rsidP="00DB7A81">
      <w:pPr>
        <w:rPr>
          <w:rFonts w:asciiTheme="majorHAnsi" w:hAnsiTheme="majorHAnsi"/>
        </w:rPr>
      </w:pPr>
      <w:r w:rsidRPr="00270A24">
        <w:rPr>
          <w:rFonts w:asciiTheme="majorHAnsi" w:hAnsiTheme="majorHAnsi"/>
        </w:rPr>
        <w:t>Allowable uses of Health Center Program operational grant funds will generally apply to FY 2016 PCMH supplemental funding, unless specifically excluded in this funding announcement</w:t>
      </w:r>
      <w:r>
        <w:rPr>
          <w:rFonts w:asciiTheme="majorHAnsi" w:hAnsiTheme="majorHAnsi"/>
        </w:rPr>
        <w:t xml:space="preserve"> (see below)</w:t>
      </w:r>
      <w:r w:rsidRPr="00270A24">
        <w:rPr>
          <w:rFonts w:asciiTheme="majorHAnsi" w:hAnsiTheme="majorHAnsi"/>
        </w:rPr>
        <w:t xml:space="preserve">.  </w:t>
      </w:r>
      <w:r w:rsidR="005F72C1">
        <w:rPr>
          <w:rFonts w:asciiTheme="majorHAnsi" w:hAnsiTheme="majorHAnsi"/>
        </w:rPr>
        <w:t>A</w:t>
      </w:r>
      <w:r w:rsidR="0091693F" w:rsidRPr="002B4866">
        <w:rPr>
          <w:rFonts w:asciiTheme="majorHAnsi" w:hAnsiTheme="majorHAnsi"/>
        </w:rPr>
        <w:t>llowable costs include personnel costs</w:t>
      </w:r>
      <w:r w:rsidR="007F0542">
        <w:rPr>
          <w:rFonts w:asciiTheme="majorHAnsi" w:hAnsiTheme="majorHAnsi"/>
        </w:rPr>
        <w:t xml:space="preserve"> (</w:t>
      </w:r>
      <w:r w:rsidR="00995BA0">
        <w:rPr>
          <w:rFonts w:asciiTheme="majorHAnsi" w:hAnsiTheme="majorHAnsi"/>
        </w:rPr>
        <w:t>salary and fringe for no more than</w:t>
      </w:r>
      <w:r w:rsidR="007F0542">
        <w:rPr>
          <w:rFonts w:asciiTheme="majorHAnsi" w:hAnsiTheme="majorHAnsi"/>
        </w:rPr>
        <w:t xml:space="preserve"> 12 months)</w:t>
      </w:r>
      <w:r w:rsidR="008455E1">
        <w:rPr>
          <w:rFonts w:asciiTheme="majorHAnsi" w:hAnsiTheme="majorHAnsi"/>
        </w:rPr>
        <w:t>; fees for</w:t>
      </w:r>
      <w:r w:rsidR="0091693F" w:rsidRPr="002B4866">
        <w:rPr>
          <w:rFonts w:asciiTheme="majorHAnsi" w:hAnsiTheme="majorHAnsi"/>
        </w:rPr>
        <w:t xml:space="preserve"> </w:t>
      </w:r>
      <w:r w:rsidR="00EB6C36">
        <w:rPr>
          <w:rFonts w:asciiTheme="majorHAnsi" w:hAnsiTheme="majorHAnsi"/>
        </w:rPr>
        <w:t>expert consultant</w:t>
      </w:r>
      <w:r w:rsidR="008455E1">
        <w:rPr>
          <w:rFonts w:asciiTheme="majorHAnsi" w:hAnsiTheme="majorHAnsi"/>
        </w:rPr>
        <w:t>s</w:t>
      </w:r>
      <w:r w:rsidR="00AE0B6D">
        <w:rPr>
          <w:rFonts w:asciiTheme="majorHAnsi" w:hAnsiTheme="majorHAnsi"/>
        </w:rPr>
        <w:t>,</w:t>
      </w:r>
      <w:r w:rsidR="00EB6C36">
        <w:rPr>
          <w:rFonts w:asciiTheme="majorHAnsi" w:hAnsiTheme="majorHAnsi"/>
        </w:rPr>
        <w:t xml:space="preserve"> </w:t>
      </w:r>
      <w:r w:rsidR="00AE0B6D">
        <w:rPr>
          <w:rFonts w:asciiTheme="majorHAnsi" w:hAnsiTheme="majorHAnsi"/>
        </w:rPr>
        <w:t>practice coach</w:t>
      </w:r>
      <w:r w:rsidR="008455E1">
        <w:rPr>
          <w:rFonts w:asciiTheme="majorHAnsi" w:hAnsiTheme="majorHAnsi"/>
        </w:rPr>
        <w:t>es</w:t>
      </w:r>
      <w:r w:rsidR="00AE0B6D">
        <w:rPr>
          <w:rFonts w:asciiTheme="majorHAnsi" w:hAnsiTheme="majorHAnsi"/>
        </w:rPr>
        <w:t xml:space="preserve">, </w:t>
      </w:r>
      <w:r w:rsidR="00EB6C36">
        <w:rPr>
          <w:rFonts w:asciiTheme="majorHAnsi" w:hAnsiTheme="majorHAnsi"/>
        </w:rPr>
        <w:t>or training</w:t>
      </w:r>
      <w:r w:rsidR="008455E1">
        <w:rPr>
          <w:rFonts w:asciiTheme="majorHAnsi" w:hAnsiTheme="majorHAnsi"/>
        </w:rPr>
        <w:t>;</w:t>
      </w:r>
      <w:r w:rsidR="0091693F" w:rsidRPr="002B4866">
        <w:rPr>
          <w:rFonts w:asciiTheme="majorHAnsi" w:hAnsiTheme="majorHAnsi"/>
        </w:rPr>
        <w:t xml:space="preserve"> </w:t>
      </w:r>
      <w:r w:rsidR="00B44DE0">
        <w:rPr>
          <w:rFonts w:asciiTheme="majorHAnsi" w:hAnsiTheme="majorHAnsi"/>
        </w:rPr>
        <w:t xml:space="preserve">movable </w:t>
      </w:r>
      <w:r w:rsidR="00662145" w:rsidRPr="00662145">
        <w:rPr>
          <w:rFonts w:asciiTheme="majorHAnsi" w:hAnsiTheme="majorHAnsi"/>
        </w:rPr>
        <w:t>equipment and supply costs that cover necessary system enhancements</w:t>
      </w:r>
      <w:r w:rsidR="00662145">
        <w:rPr>
          <w:rFonts w:asciiTheme="majorHAnsi" w:hAnsiTheme="majorHAnsi"/>
        </w:rPr>
        <w:t xml:space="preserve"> (e.g., upgrades</w:t>
      </w:r>
      <w:r w:rsidR="004613A2">
        <w:rPr>
          <w:rFonts w:asciiTheme="majorHAnsi" w:hAnsiTheme="majorHAnsi"/>
        </w:rPr>
        <w:t xml:space="preserve"> for ONC-certified </w:t>
      </w:r>
      <w:r w:rsidR="00C04695">
        <w:rPr>
          <w:rFonts w:asciiTheme="majorHAnsi" w:hAnsiTheme="majorHAnsi"/>
        </w:rPr>
        <w:t>e</w:t>
      </w:r>
      <w:r w:rsidR="00C81586">
        <w:rPr>
          <w:rFonts w:asciiTheme="majorHAnsi" w:hAnsiTheme="majorHAnsi"/>
        </w:rPr>
        <w:t>l</w:t>
      </w:r>
      <w:r w:rsidR="00C04695">
        <w:rPr>
          <w:rFonts w:asciiTheme="majorHAnsi" w:hAnsiTheme="majorHAnsi"/>
        </w:rPr>
        <w:t>ectronic health records (EHR)</w:t>
      </w:r>
      <w:r w:rsidR="0009129C">
        <w:rPr>
          <w:rFonts w:asciiTheme="majorHAnsi" w:hAnsiTheme="majorHAnsi"/>
        </w:rPr>
        <w:t>,</w:t>
      </w:r>
      <w:r w:rsidR="00C04695">
        <w:rPr>
          <w:rStyle w:val="FootnoteReference"/>
          <w:rFonts w:asciiTheme="majorHAnsi" w:hAnsiTheme="majorHAnsi"/>
        </w:rPr>
        <w:footnoteReference w:id="6"/>
      </w:r>
      <w:r w:rsidR="0009129C">
        <w:rPr>
          <w:rFonts w:asciiTheme="majorHAnsi" w:hAnsiTheme="majorHAnsi"/>
        </w:rPr>
        <w:t xml:space="preserve"> tablets, modular work stations</w:t>
      </w:r>
      <w:r w:rsidR="00662145">
        <w:rPr>
          <w:rFonts w:asciiTheme="majorHAnsi" w:hAnsiTheme="majorHAnsi"/>
        </w:rPr>
        <w:t>)</w:t>
      </w:r>
      <w:r w:rsidR="00662145" w:rsidRPr="00662145">
        <w:rPr>
          <w:rFonts w:asciiTheme="majorHAnsi" w:hAnsiTheme="majorHAnsi"/>
        </w:rPr>
        <w:t xml:space="preserve">; </w:t>
      </w:r>
      <w:r w:rsidR="0091693F" w:rsidRPr="002B4866">
        <w:rPr>
          <w:rFonts w:asciiTheme="majorHAnsi" w:hAnsiTheme="majorHAnsi"/>
        </w:rPr>
        <w:t xml:space="preserve">and </w:t>
      </w:r>
      <w:r w:rsidR="009427BC">
        <w:rPr>
          <w:rFonts w:asciiTheme="majorHAnsi" w:hAnsiTheme="majorHAnsi"/>
        </w:rPr>
        <w:t xml:space="preserve">costs </w:t>
      </w:r>
      <w:r w:rsidR="003F7D5C">
        <w:rPr>
          <w:rFonts w:asciiTheme="majorHAnsi" w:hAnsiTheme="majorHAnsi"/>
        </w:rPr>
        <w:t>of</w:t>
      </w:r>
      <w:r w:rsidR="009427BC">
        <w:rPr>
          <w:rFonts w:asciiTheme="majorHAnsi" w:hAnsiTheme="majorHAnsi"/>
        </w:rPr>
        <w:t xml:space="preserve"> </w:t>
      </w:r>
      <w:r w:rsidR="0091693F" w:rsidRPr="002B4866">
        <w:rPr>
          <w:rFonts w:asciiTheme="majorHAnsi" w:hAnsiTheme="majorHAnsi"/>
        </w:rPr>
        <w:t>activities directly related to the developmental work required to become PCMH</w:t>
      </w:r>
      <w:r w:rsidR="009427BC">
        <w:rPr>
          <w:rFonts w:asciiTheme="majorHAnsi" w:hAnsiTheme="majorHAnsi"/>
        </w:rPr>
        <w:t xml:space="preserve"> recognized</w:t>
      </w:r>
      <w:r w:rsidR="0091693F" w:rsidRPr="002B4866">
        <w:rPr>
          <w:rFonts w:asciiTheme="majorHAnsi" w:hAnsiTheme="majorHAnsi"/>
        </w:rPr>
        <w:t>.</w:t>
      </w:r>
      <w:r w:rsidR="00D23415">
        <w:rPr>
          <w:rFonts w:asciiTheme="majorHAnsi" w:hAnsiTheme="majorHAnsi"/>
        </w:rPr>
        <w:t xml:space="preserve"> </w:t>
      </w:r>
    </w:p>
    <w:p w:rsidR="00AD240F" w:rsidRDefault="00AD240F" w:rsidP="002D0F24">
      <w:pPr>
        <w:rPr>
          <w:rFonts w:asciiTheme="majorHAnsi" w:hAnsiTheme="majorHAnsi"/>
        </w:rPr>
      </w:pPr>
      <w:bookmarkStart w:id="6" w:name="_Toc415841580"/>
    </w:p>
    <w:p w:rsidR="005405A2" w:rsidRPr="002B4866" w:rsidRDefault="005405A2" w:rsidP="002D0F24">
      <w:pPr>
        <w:pStyle w:val="Heading1"/>
        <w:spacing w:before="0" w:after="60"/>
        <w:rPr>
          <w:bCs w:val="0"/>
          <w:color w:val="auto"/>
          <w:sz w:val="24"/>
          <w:szCs w:val="24"/>
        </w:rPr>
      </w:pPr>
      <w:bookmarkStart w:id="7" w:name="_Toc449951372"/>
      <w:r w:rsidRPr="002B4866">
        <w:rPr>
          <w:bCs w:val="0"/>
          <w:color w:val="auto"/>
          <w:sz w:val="24"/>
          <w:szCs w:val="24"/>
        </w:rPr>
        <w:t>Ineligible Activities</w:t>
      </w:r>
      <w:bookmarkEnd w:id="6"/>
      <w:bookmarkEnd w:id="7"/>
    </w:p>
    <w:p w:rsidR="005405A2" w:rsidRPr="002B4866" w:rsidRDefault="005405A2" w:rsidP="002D0F24">
      <w:pPr>
        <w:rPr>
          <w:rFonts w:asciiTheme="majorHAnsi" w:hAnsiTheme="majorHAnsi"/>
        </w:rPr>
      </w:pPr>
      <w:r w:rsidRPr="00B854F0">
        <w:rPr>
          <w:rFonts w:asciiTheme="majorHAnsi" w:hAnsiTheme="majorHAnsi"/>
        </w:rPr>
        <w:t xml:space="preserve">The following uses of </w:t>
      </w:r>
      <w:r w:rsidR="005A022D" w:rsidRPr="00B854F0">
        <w:rPr>
          <w:rFonts w:asciiTheme="majorHAnsi" w:hAnsiTheme="majorHAnsi"/>
        </w:rPr>
        <w:t xml:space="preserve">FY 2016 </w:t>
      </w:r>
      <w:r w:rsidR="005F7381" w:rsidRPr="00AE3E4C">
        <w:rPr>
          <w:rFonts w:asciiTheme="majorHAnsi" w:hAnsiTheme="majorHAnsi"/>
        </w:rPr>
        <w:t>PCMH</w:t>
      </w:r>
      <w:r w:rsidRPr="00AE3E4C">
        <w:rPr>
          <w:rFonts w:asciiTheme="majorHAnsi" w:hAnsiTheme="majorHAnsi"/>
        </w:rPr>
        <w:t xml:space="preserve"> </w:t>
      </w:r>
      <w:r w:rsidR="005969BA" w:rsidRPr="00AE3E4C">
        <w:rPr>
          <w:rFonts w:asciiTheme="majorHAnsi" w:hAnsiTheme="majorHAnsi"/>
        </w:rPr>
        <w:t>supplemental</w:t>
      </w:r>
      <w:r w:rsidR="005969BA">
        <w:rPr>
          <w:rFonts w:asciiTheme="majorHAnsi" w:hAnsiTheme="majorHAnsi"/>
          <w:bCs/>
        </w:rPr>
        <w:t xml:space="preserve"> </w:t>
      </w:r>
      <w:r w:rsidRPr="002B4866">
        <w:rPr>
          <w:rFonts w:asciiTheme="majorHAnsi" w:hAnsiTheme="majorHAnsi"/>
          <w:bCs/>
        </w:rPr>
        <w:t xml:space="preserve">funds are </w:t>
      </w:r>
      <w:r w:rsidRPr="002B4866">
        <w:rPr>
          <w:rFonts w:asciiTheme="majorHAnsi" w:hAnsiTheme="majorHAnsi"/>
          <w:bCs/>
          <w:u w:val="single"/>
        </w:rPr>
        <w:t>not</w:t>
      </w:r>
      <w:r w:rsidRPr="002B4866">
        <w:rPr>
          <w:rFonts w:asciiTheme="majorHAnsi" w:hAnsiTheme="majorHAnsi"/>
          <w:bCs/>
        </w:rPr>
        <w:t xml:space="preserve"> permitted</w:t>
      </w:r>
      <w:r w:rsidRPr="002B4866">
        <w:rPr>
          <w:rFonts w:asciiTheme="majorHAnsi" w:hAnsiTheme="majorHAnsi"/>
        </w:rPr>
        <w:t xml:space="preserve">: </w:t>
      </w:r>
    </w:p>
    <w:p w:rsidR="008455E1" w:rsidRPr="008455E1" w:rsidRDefault="00B477BD" w:rsidP="002D0F24">
      <w:pPr>
        <w:pStyle w:val="ListParagraph"/>
        <w:numPr>
          <w:ilvl w:val="0"/>
          <w:numId w:val="13"/>
        </w:numPr>
        <w:rPr>
          <w:rFonts w:asciiTheme="majorHAnsi" w:eastAsiaTheme="minorHAnsi" w:hAnsiTheme="majorHAnsi" w:cstheme="minorBidi"/>
        </w:rPr>
      </w:pPr>
      <w:r>
        <w:rPr>
          <w:rFonts w:asciiTheme="majorHAnsi" w:eastAsiaTheme="minorHAnsi" w:hAnsiTheme="majorHAnsi" w:cstheme="minorBidi"/>
        </w:rPr>
        <w:t xml:space="preserve">Patient care (e.g., laboratory </w:t>
      </w:r>
      <w:r w:rsidR="00D1609F">
        <w:rPr>
          <w:rFonts w:asciiTheme="majorHAnsi" w:eastAsiaTheme="minorHAnsi" w:hAnsiTheme="majorHAnsi" w:cstheme="minorBidi"/>
        </w:rPr>
        <w:t xml:space="preserve">tests, </w:t>
      </w:r>
      <w:r w:rsidR="00DE59DE">
        <w:rPr>
          <w:rFonts w:asciiTheme="majorHAnsi" w:eastAsiaTheme="minorHAnsi" w:hAnsiTheme="majorHAnsi" w:cstheme="minorBidi"/>
        </w:rPr>
        <w:t>medical or office supplies)</w:t>
      </w:r>
      <w:r w:rsidR="008455E1" w:rsidRPr="008455E1">
        <w:rPr>
          <w:rFonts w:asciiTheme="majorHAnsi" w:eastAsiaTheme="minorHAnsi" w:hAnsiTheme="majorHAnsi" w:cstheme="minorBidi"/>
        </w:rPr>
        <w:t>;</w:t>
      </w:r>
    </w:p>
    <w:p w:rsidR="005405A2" w:rsidRPr="002B4866" w:rsidRDefault="005405A2" w:rsidP="002D0F24">
      <w:pPr>
        <w:numPr>
          <w:ilvl w:val="0"/>
          <w:numId w:val="13"/>
        </w:numPr>
        <w:rPr>
          <w:rFonts w:asciiTheme="majorHAnsi" w:hAnsiTheme="majorHAnsi"/>
        </w:rPr>
      </w:pPr>
      <w:r w:rsidRPr="002B4866">
        <w:rPr>
          <w:rFonts w:asciiTheme="majorHAnsi" w:hAnsiTheme="majorHAnsi"/>
        </w:rPr>
        <w:t>Construction, including minor alterations and renovation;</w:t>
      </w:r>
    </w:p>
    <w:p w:rsidR="005405A2" w:rsidRPr="002B4866" w:rsidRDefault="005405A2" w:rsidP="002D0F24">
      <w:pPr>
        <w:numPr>
          <w:ilvl w:val="0"/>
          <w:numId w:val="13"/>
        </w:numPr>
        <w:rPr>
          <w:rFonts w:asciiTheme="majorHAnsi" w:hAnsiTheme="majorHAnsi"/>
        </w:rPr>
      </w:pPr>
      <w:r w:rsidRPr="002B4866">
        <w:rPr>
          <w:rFonts w:asciiTheme="majorHAnsi" w:hAnsiTheme="majorHAnsi"/>
        </w:rPr>
        <w:t>Fixed/installed equipment; and/or</w:t>
      </w:r>
    </w:p>
    <w:p w:rsidR="005405A2" w:rsidRPr="002B4866" w:rsidRDefault="005405A2" w:rsidP="002D0F24">
      <w:pPr>
        <w:numPr>
          <w:ilvl w:val="0"/>
          <w:numId w:val="13"/>
        </w:numPr>
        <w:rPr>
          <w:rFonts w:asciiTheme="majorHAnsi" w:hAnsiTheme="majorHAnsi"/>
        </w:rPr>
      </w:pPr>
      <w:r w:rsidRPr="002B4866">
        <w:rPr>
          <w:rFonts w:asciiTheme="majorHAnsi" w:hAnsiTheme="majorHAnsi"/>
        </w:rPr>
        <w:t>Facility, land, or vehicle purchases.</w:t>
      </w:r>
    </w:p>
    <w:p w:rsidR="005F7381" w:rsidRPr="002B4866" w:rsidRDefault="005F7381" w:rsidP="002D0F24">
      <w:pPr>
        <w:rPr>
          <w:rFonts w:asciiTheme="majorHAnsi" w:hAnsiTheme="majorHAnsi"/>
        </w:rPr>
      </w:pPr>
    </w:p>
    <w:p w:rsidR="00C54187" w:rsidRPr="002B4866" w:rsidRDefault="005405A2" w:rsidP="002D0F24">
      <w:pPr>
        <w:rPr>
          <w:rFonts w:asciiTheme="majorHAnsi" w:hAnsiTheme="majorHAnsi"/>
        </w:rPr>
      </w:pPr>
      <w:r w:rsidRPr="002B4866">
        <w:rPr>
          <w:rFonts w:asciiTheme="majorHAnsi" w:hAnsiTheme="majorHAnsi"/>
          <w:b/>
        </w:rPr>
        <w:t>Note:</w:t>
      </w:r>
      <w:r w:rsidRPr="002B4866">
        <w:rPr>
          <w:rFonts w:asciiTheme="majorHAnsi" w:hAnsiTheme="majorHAnsi"/>
        </w:rPr>
        <w:t xml:space="preserve"> Health centers may not use </w:t>
      </w:r>
      <w:r w:rsidR="005A022D">
        <w:rPr>
          <w:rFonts w:asciiTheme="majorHAnsi" w:hAnsiTheme="majorHAnsi"/>
          <w:bCs/>
        </w:rPr>
        <w:t xml:space="preserve">FY 2016 </w:t>
      </w:r>
      <w:r w:rsidR="005F7381" w:rsidRPr="002B4866">
        <w:rPr>
          <w:rFonts w:asciiTheme="majorHAnsi" w:hAnsiTheme="majorHAnsi"/>
        </w:rPr>
        <w:t>PCMH</w:t>
      </w:r>
      <w:r w:rsidRPr="002B4866">
        <w:rPr>
          <w:rFonts w:asciiTheme="majorHAnsi" w:hAnsiTheme="majorHAnsi"/>
        </w:rPr>
        <w:t xml:space="preserve"> </w:t>
      </w:r>
      <w:r w:rsidR="00F93296">
        <w:rPr>
          <w:rFonts w:asciiTheme="majorHAnsi" w:hAnsiTheme="majorHAnsi"/>
        </w:rPr>
        <w:t xml:space="preserve">supplemental </w:t>
      </w:r>
      <w:r w:rsidRPr="002B4866">
        <w:rPr>
          <w:rFonts w:asciiTheme="majorHAnsi" w:hAnsiTheme="majorHAnsi"/>
        </w:rPr>
        <w:t>funding to supplant other resources (federal, state, local, or private).</w:t>
      </w:r>
      <w:r w:rsidR="00C54187">
        <w:rPr>
          <w:rFonts w:asciiTheme="majorHAnsi" w:hAnsiTheme="majorHAnsi"/>
        </w:rPr>
        <w:t xml:space="preserve"> </w:t>
      </w:r>
      <w:r w:rsidRPr="002B4866">
        <w:rPr>
          <w:rFonts w:asciiTheme="majorHAnsi" w:hAnsiTheme="majorHAnsi"/>
        </w:rPr>
        <w:t xml:space="preserve"> </w:t>
      </w:r>
      <w:r w:rsidR="00C54187">
        <w:rPr>
          <w:rFonts w:asciiTheme="majorHAnsi" w:hAnsiTheme="majorHAnsi"/>
        </w:rPr>
        <w:t xml:space="preserve">Health centers </w:t>
      </w:r>
      <w:r w:rsidR="002134CF">
        <w:rPr>
          <w:rFonts w:asciiTheme="majorHAnsi" w:hAnsiTheme="majorHAnsi"/>
        </w:rPr>
        <w:t xml:space="preserve">also </w:t>
      </w:r>
      <w:r w:rsidR="00C54187">
        <w:rPr>
          <w:rFonts w:asciiTheme="majorHAnsi" w:hAnsiTheme="majorHAnsi"/>
        </w:rPr>
        <w:t xml:space="preserve">may not propose to use FY 2016 PCMH supplemental funding on </w:t>
      </w:r>
      <w:r w:rsidR="00CA6FB0">
        <w:rPr>
          <w:rFonts w:asciiTheme="majorHAnsi" w:hAnsiTheme="majorHAnsi"/>
        </w:rPr>
        <w:t xml:space="preserve">costs </w:t>
      </w:r>
      <w:r w:rsidR="002134CF">
        <w:rPr>
          <w:rFonts w:asciiTheme="majorHAnsi" w:hAnsiTheme="majorHAnsi"/>
        </w:rPr>
        <w:t xml:space="preserve">incurred </w:t>
      </w:r>
      <w:r w:rsidR="002134CF" w:rsidRPr="002B4866">
        <w:rPr>
          <w:rFonts w:asciiTheme="majorHAnsi" w:hAnsiTheme="majorHAnsi"/>
        </w:rPr>
        <w:t>prior to award</w:t>
      </w:r>
      <w:r w:rsidR="002134CF">
        <w:rPr>
          <w:rFonts w:asciiTheme="majorHAnsi" w:hAnsiTheme="majorHAnsi"/>
        </w:rPr>
        <w:t xml:space="preserve"> </w:t>
      </w:r>
      <w:r w:rsidR="00CA6FB0">
        <w:rPr>
          <w:rFonts w:asciiTheme="majorHAnsi" w:hAnsiTheme="majorHAnsi"/>
        </w:rPr>
        <w:t xml:space="preserve">or </w:t>
      </w:r>
      <w:r w:rsidR="00C54187">
        <w:rPr>
          <w:rFonts w:asciiTheme="majorHAnsi" w:hAnsiTheme="majorHAnsi"/>
        </w:rPr>
        <w:t xml:space="preserve">costs that are covered by </w:t>
      </w:r>
      <w:r w:rsidR="00A6521D">
        <w:rPr>
          <w:rFonts w:asciiTheme="majorHAnsi" w:hAnsiTheme="majorHAnsi"/>
        </w:rPr>
        <w:t xml:space="preserve">the </w:t>
      </w:r>
      <w:hyperlink w:anchor="HRSAPCMHInitiative" w:history="1">
        <w:r w:rsidR="00A6521D" w:rsidRPr="00EB4446">
          <w:rPr>
            <w:rStyle w:val="Hyperlink"/>
            <w:rFonts w:asciiTheme="majorHAnsi" w:hAnsiTheme="majorHAnsi" w:cstheme="minorBidi"/>
          </w:rPr>
          <w:t>HRSA Accreditation and PCMH Recognition Initiative</w:t>
        </w:r>
      </w:hyperlink>
      <w:r w:rsidR="00C54187">
        <w:rPr>
          <w:rFonts w:asciiTheme="majorHAnsi" w:hAnsiTheme="majorHAnsi"/>
        </w:rPr>
        <w:t>.  In addition, h</w:t>
      </w:r>
      <w:r w:rsidR="00C54187" w:rsidRPr="002B4866">
        <w:rPr>
          <w:rFonts w:asciiTheme="majorHAnsi" w:hAnsiTheme="majorHAnsi"/>
        </w:rPr>
        <w:t>ealth center</w:t>
      </w:r>
      <w:r w:rsidR="00C54187">
        <w:rPr>
          <w:rFonts w:asciiTheme="majorHAnsi" w:hAnsiTheme="majorHAnsi"/>
        </w:rPr>
        <w:t>s</w:t>
      </w:r>
      <w:r w:rsidR="00C54187" w:rsidRPr="002B4866">
        <w:rPr>
          <w:rFonts w:asciiTheme="majorHAnsi" w:hAnsiTheme="majorHAnsi"/>
        </w:rPr>
        <w:t xml:space="preserve"> may not propose to add, delete, consolidate, or relocate sites as part of the </w:t>
      </w:r>
      <w:r w:rsidR="00C54187">
        <w:rPr>
          <w:rFonts w:asciiTheme="majorHAnsi" w:hAnsiTheme="majorHAnsi"/>
          <w:bCs/>
        </w:rPr>
        <w:t xml:space="preserve">FY 2016 </w:t>
      </w:r>
      <w:r w:rsidR="00C54187" w:rsidRPr="002B4866">
        <w:rPr>
          <w:rFonts w:asciiTheme="majorHAnsi" w:hAnsiTheme="majorHAnsi"/>
        </w:rPr>
        <w:t xml:space="preserve">PCMH supplemental </w:t>
      </w:r>
      <w:r w:rsidR="00C54187">
        <w:rPr>
          <w:rFonts w:asciiTheme="majorHAnsi" w:hAnsiTheme="majorHAnsi"/>
        </w:rPr>
        <w:t xml:space="preserve">funding </w:t>
      </w:r>
      <w:r w:rsidR="00C54187" w:rsidRPr="002B4866">
        <w:rPr>
          <w:rFonts w:asciiTheme="majorHAnsi" w:hAnsiTheme="majorHAnsi"/>
        </w:rPr>
        <w:t>opportunity.</w:t>
      </w:r>
    </w:p>
    <w:p w:rsidR="005405A2" w:rsidRPr="002B4866" w:rsidRDefault="005405A2" w:rsidP="002D0F24">
      <w:pPr>
        <w:rPr>
          <w:rFonts w:asciiTheme="majorHAnsi" w:hAnsiTheme="majorHAnsi"/>
        </w:rPr>
      </w:pPr>
    </w:p>
    <w:p w:rsidR="005405A2" w:rsidRPr="002B4866" w:rsidRDefault="005405A2" w:rsidP="002D0F24">
      <w:pPr>
        <w:rPr>
          <w:rFonts w:asciiTheme="majorHAnsi" w:hAnsiTheme="majorHAnsi"/>
        </w:rPr>
      </w:pPr>
      <w:r w:rsidRPr="002B4866">
        <w:rPr>
          <w:rFonts w:asciiTheme="majorHAnsi" w:hAnsiTheme="majorHAnsi"/>
        </w:rPr>
        <w:t>Pursuant to existing law, and consistent with Executive Order 13535 (75 FR 15599), health centers are prohibited from using federal funds to provide abortion services (except in cases of rape or incest, or when the life of the woman would be endangered).  This includes all funds awarded under this announcement and is consistent with past practice and long-standing requirements applicable to grant awards to health centers.</w:t>
      </w:r>
    </w:p>
    <w:p w:rsidR="005405A2" w:rsidRDefault="005405A2" w:rsidP="002D0F24">
      <w:pPr>
        <w:rPr>
          <w:rFonts w:asciiTheme="majorHAnsi" w:hAnsiTheme="majorHAnsi"/>
        </w:rPr>
      </w:pPr>
    </w:p>
    <w:p w:rsidR="002964BE" w:rsidRPr="00C16F17" w:rsidRDefault="002964BE" w:rsidP="002964BE">
      <w:pPr>
        <w:pStyle w:val="Heading1"/>
        <w:spacing w:before="0" w:after="60"/>
        <w:rPr>
          <w:bCs w:val="0"/>
          <w:color w:val="auto"/>
          <w:sz w:val="24"/>
          <w:szCs w:val="24"/>
        </w:rPr>
      </w:pPr>
      <w:bookmarkStart w:id="8" w:name="_Toc449951373"/>
      <w:r w:rsidRPr="0076650E">
        <w:rPr>
          <w:bCs w:val="0"/>
          <w:color w:val="auto"/>
          <w:sz w:val="24"/>
          <w:szCs w:val="24"/>
        </w:rPr>
        <w:t>Required Outcomes</w:t>
      </w:r>
      <w:bookmarkEnd w:id="8"/>
    </w:p>
    <w:p w:rsidR="002964BE" w:rsidRDefault="002964BE" w:rsidP="002964BE">
      <w:pPr>
        <w:rPr>
          <w:rFonts w:asciiTheme="majorHAnsi" w:hAnsiTheme="majorHAnsi"/>
        </w:rPr>
      </w:pPr>
      <w:r>
        <w:rPr>
          <w:rFonts w:asciiTheme="majorHAnsi" w:hAnsiTheme="majorHAnsi"/>
          <w:bCs/>
        </w:rPr>
        <w:t xml:space="preserve">FY </w:t>
      </w:r>
      <w:r w:rsidRPr="008C455D">
        <w:rPr>
          <w:rFonts w:asciiTheme="majorHAnsi" w:hAnsiTheme="majorHAnsi"/>
        </w:rPr>
        <w:t xml:space="preserve">2016 </w:t>
      </w:r>
      <w:r w:rsidRPr="002B4866">
        <w:rPr>
          <w:rFonts w:asciiTheme="majorHAnsi" w:hAnsiTheme="majorHAnsi"/>
        </w:rPr>
        <w:t xml:space="preserve">PCMH </w:t>
      </w:r>
      <w:r>
        <w:rPr>
          <w:rFonts w:asciiTheme="majorHAnsi" w:hAnsiTheme="majorHAnsi"/>
        </w:rPr>
        <w:t xml:space="preserve">supplemental </w:t>
      </w:r>
      <w:r w:rsidRPr="002B4866">
        <w:rPr>
          <w:rFonts w:asciiTheme="majorHAnsi" w:hAnsiTheme="majorHAnsi"/>
        </w:rPr>
        <w:t>funding</w:t>
      </w:r>
      <w:r>
        <w:rPr>
          <w:rFonts w:asciiTheme="majorHAnsi" w:hAnsiTheme="majorHAnsi"/>
        </w:rPr>
        <w:t xml:space="preserve"> applications must demonstrate a proposal to achieve, expand, and/or </w:t>
      </w:r>
      <w:r w:rsidR="00AF6C5B">
        <w:rPr>
          <w:rFonts w:asciiTheme="majorHAnsi" w:hAnsiTheme="majorHAnsi"/>
        </w:rPr>
        <w:t>optimize</w:t>
      </w:r>
      <w:r>
        <w:rPr>
          <w:rFonts w:asciiTheme="majorHAnsi" w:hAnsiTheme="majorHAnsi"/>
        </w:rPr>
        <w:t xml:space="preserve"> PCMH recognition.  If funded, health centers are required to demonstrate that activities have been implemented to support accomplishment of the proposed outcomes, including the </w:t>
      </w:r>
      <w:r w:rsidRPr="007446FD">
        <w:rPr>
          <w:rFonts w:asciiTheme="majorHAnsi" w:hAnsiTheme="majorHAnsi"/>
        </w:rPr>
        <w:t>achievement</w:t>
      </w:r>
      <w:r>
        <w:rPr>
          <w:rFonts w:asciiTheme="majorHAnsi" w:hAnsiTheme="majorHAnsi"/>
        </w:rPr>
        <w:t xml:space="preserve"> or </w:t>
      </w:r>
      <w:r w:rsidR="009A3EA6">
        <w:rPr>
          <w:rFonts w:asciiTheme="majorHAnsi" w:hAnsiTheme="majorHAnsi"/>
        </w:rPr>
        <w:t>expansion</w:t>
      </w:r>
      <w:r w:rsidRPr="007446FD">
        <w:rPr>
          <w:rFonts w:asciiTheme="majorHAnsi" w:hAnsiTheme="majorHAnsi"/>
        </w:rPr>
        <w:t xml:space="preserve"> of PCMH recognition</w:t>
      </w:r>
      <w:r>
        <w:rPr>
          <w:rFonts w:asciiTheme="majorHAnsi" w:hAnsiTheme="majorHAnsi"/>
        </w:rPr>
        <w:t>. The table below outlines the documentation health centers are required to submit with the final report depending on the recognizing body selected</w:t>
      </w:r>
      <w:r w:rsidR="00C71600">
        <w:rPr>
          <w:rFonts w:asciiTheme="majorHAnsi" w:hAnsiTheme="majorHAnsi"/>
        </w:rPr>
        <w:t xml:space="preserve"> </w:t>
      </w:r>
      <w:r w:rsidR="003B2BF2">
        <w:rPr>
          <w:rFonts w:asciiTheme="majorHAnsi" w:hAnsiTheme="majorHAnsi"/>
        </w:rPr>
        <w:t>(as</w:t>
      </w:r>
      <w:r w:rsidR="00C71600">
        <w:rPr>
          <w:rFonts w:asciiTheme="majorHAnsi" w:hAnsiTheme="majorHAnsi"/>
        </w:rPr>
        <w:t xml:space="preserve"> applicable)</w:t>
      </w:r>
      <w:r>
        <w:rPr>
          <w:rFonts w:asciiTheme="majorHAnsi" w:hAnsiTheme="majorHAnsi"/>
        </w:rPr>
        <w:t>.</w:t>
      </w:r>
    </w:p>
    <w:p w:rsidR="002964BE" w:rsidRDefault="002964BE" w:rsidP="002964BE">
      <w:pPr>
        <w:rPr>
          <w:rFonts w:asciiTheme="majorHAnsi" w:hAnsiTheme="majorHAnsi"/>
        </w:rPr>
      </w:pPr>
    </w:p>
    <w:tbl>
      <w:tblPr>
        <w:tblStyle w:val="TableGrid"/>
        <w:tblW w:w="9720" w:type="dxa"/>
        <w:tblInd w:w="108" w:type="dxa"/>
        <w:tblLook w:val="04A0" w:firstRow="1" w:lastRow="0" w:firstColumn="1" w:lastColumn="0" w:noHBand="0" w:noVBand="1"/>
        <w:tblCaption w:val="Documentation requirements"/>
      </w:tblPr>
      <w:tblGrid>
        <w:gridCol w:w="2430"/>
        <w:gridCol w:w="7290"/>
      </w:tblGrid>
      <w:tr w:rsidR="002964BE" w:rsidRPr="00612D8C" w:rsidTr="00D23415">
        <w:trPr>
          <w:tblHeader/>
        </w:trPr>
        <w:tc>
          <w:tcPr>
            <w:tcW w:w="2430" w:type="dxa"/>
            <w:shd w:val="clear" w:color="auto" w:fill="DBE5F1" w:themeFill="accent1" w:themeFillTint="33"/>
            <w:vAlign w:val="center"/>
          </w:tcPr>
          <w:p w:rsidR="002964BE" w:rsidRPr="00612D8C" w:rsidRDefault="002964BE" w:rsidP="00CE6A53">
            <w:pPr>
              <w:rPr>
                <w:rFonts w:asciiTheme="majorHAnsi" w:hAnsiTheme="majorHAnsi"/>
                <w:b/>
                <w:bCs/>
              </w:rPr>
            </w:pPr>
            <w:r>
              <w:rPr>
                <w:rFonts w:asciiTheme="majorHAnsi" w:hAnsiTheme="majorHAnsi"/>
                <w:b/>
                <w:bCs/>
              </w:rPr>
              <w:t>Recognizing Body</w:t>
            </w:r>
          </w:p>
        </w:tc>
        <w:tc>
          <w:tcPr>
            <w:tcW w:w="7290" w:type="dxa"/>
            <w:shd w:val="clear" w:color="auto" w:fill="DBE5F1" w:themeFill="accent1" w:themeFillTint="33"/>
            <w:vAlign w:val="center"/>
          </w:tcPr>
          <w:p w:rsidR="002964BE" w:rsidRPr="00612D8C" w:rsidRDefault="00CE6A53" w:rsidP="003B2BF2">
            <w:pPr>
              <w:rPr>
                <w:rFonts w:asciiTheme="majorHAnsi" w:hAnsiTheme="majorHAnsi"/>
                <w:b/>
                <w:bCs/>
              </w:rPr>
            </w:pPr>
            <w:r>
              <w:rPr>
                <w:rFonts w:asciiTheme="majorHAnsi" w:hAnsiTheme="majorHAnsi"/>
                <w:b/>
                <w:bCs/>
              </w:rPr>
              <w:t>Documentation</w:t>
            </w:r>
            <w:r w:rsidRPr="00612D8C">
              <w:rPr>
                <w:rFonts w:asciiTheme="majorHAnsi" w:hAnsiTheme="majorHAnsi"/>
                <w:b/>
                <w:bCs/>
              </w:rPr>
              <w:t xml:space="preserve"> </w:t>
            </w:r>
            <w:r w:rsidR="002964BE" w:rsidRPr="00612D8C">
              <w:rPr>
                <w:rFonts w:asciiTheme="majorHAnsi" w:hAnsiTheme="majorHAnsi"/>
                <w:b/>
                <w:bCs/>
              </w:rPr>
              <w:t xml:space="preserve">Required </w:t>
            </w:r>
            <w:r>
              <w:rPr>
                <w:rFonts w:asciiTheme="majorHAnsi" w:hAnsiTheme="majorHAnsi"/>
                <w:b/>
                <w:bCs/>
              </w:rPr>
              <w:t xml:space="preserve">for Health Centers </w:t>
            </w:r>
            <w:r w:rsidR="003B2BF2">
              <w:rPr>
                <w:rFonts w:asciiTheme="majorHAnsi" w:hAnsiTheme="majorHAnsi"/>
                <w:b/>
                <w:bCs/>
              </w:rPr>
              <w:t>Proposing to Achieve or Expand</w:t>
            </w:r>
            <w:r>
              <w:rPr>
                <w:rFonts w:asciiTheme="majorHAnsi" w:hAnsiTheme="majorHAnsi"/>
                <w:b/>
                <w:bCs/>
              </w:rPr>
              <w:t xml:space="preserve"> PCMH Recognition</w:t>
            </w:r>
          </w:p>
        </w:tc>
      </w:tr>
      <w:tr w:rsidR="002964BE" w:rsidRPr="00612D8C" w:rsidTr="001A7C2C">
        <w:tc>
          <w:tcPr>
            <w:tcW w:w="2430" w:type="dxa"/>
            <w:vAlign w:val="center"/>
          </w:tcPr>
          <w:p w:rsidR="002964BE" w:rsidRPr="00612D8C" w:rsidRDefault="002964BE" w:rsidP="006D0FD9">
            <w:pPr>
              <w:rPr>
                <w:rFonts w:asciiTheme="majorHAnsi" w:hAnsiTheme="majorHAnsi"/>
                <w:bCs/>
              </w:rPr>
            </w:pPr>
            <w:r w:rsidRPr="00C01589">
              <w:rPr>
                <w:rFonts w:asciiTheme="majorHAnsi" w:hAnsiTheme="majorHAnsi"/>
                <w:lang w:val="en"/>
              </w:rPr>
              <w:t>National Committee on Quality Assurance (NCQA)</w:t>
            </w:r>
          </w:p>
        </w:tc>
        <w:tc>
          <w:tcPr>
            <w:tcW w:w="7290" w:type="dxa"/>
            <w:vAlign w:val="center"/>
          </w:tcPr>
          <w:p w:rsidR="002964BE" w:rsidRPr="00612D8C" w:rsidRDefault="002964BE" w:rsidP="000F49CB">
            <w:pPr>
              <w:rPr>
                <w:rFonts w:asciiTheme="majorHAnsi" w:hAnsiTheme="majorHAnsi"/>
                <w:bCs/>
              </w:rPr>
            </w:pPr>
            <w:r>
              <w:rPr>
                <w:rFonts w:asciiTheme="majorHAnsi" w:hAnsiTheme="majorHAnsi"/>
                <w:bCs/>
              </w:rPr>
              <w:t>P</w:t>
            </w:r>
            <w:r w:rsidRPr="00612D8C">
              <w:rPr>
                <w:rFonts w:asciiTheme="majorHAnsi" w:hAnsiTheme="majorHAnsi"/>
                <w:bCs/>
              </w:rPr>
              <w:t xml:space="preserve">roof of the recognition </w:t>
            </w:r>
            <w:r>
              <w:rPr>
                <w:rFonts w:asciiTheme="majorHAnsi" w:hAnsiTheme="majorHAnsi"/>
                <w:bCs/>
              </w:rPr>
              <w:t>decision</w:t>
            </w:r>
            <w:r w:rsidRPr="00612D8C">
              <w:rPr>
                <w:rFonts w:asciiTheme="majorHAnsi" w:hAnsiTheme="majorHAnsi"/>
                <w:bCs/>
              </w:rPr>
              <w:t xml:space="preserve"> </w:t>
            </w:r>
            <w:r>
              <w:rPr>
                <w:rFonts w:asciiTheme="majorHAnsi" w:hAnsiTheme="majorHAnsi"/>
                <w:bCs/>
              </w:rPr>
              <w:t>or</w:t>
            </w:r>
            <w:r w:rsidRPr="00612D8C">
              <w:rPr>
                <w:rFonts w:asciiTheme="majorHAnsi" w:hAnsiTheme="majorHAnsi"/>
                <w:bCs/>
              </w:rPr>
              <w:t xml:space="preserve"> proof of final survey </w:t>
            </w:r>
            <w:r>
              <w:rPr>
                <w:rFonts w:asciiTheme="majorHAnsi" w:hAnsiTheme="majorHAnsi"/>
                <w:bCs/>
              </w:rPr>
              <w:t xml:space="preserve">tool </w:t>
            </w:r>
            <w:r w:rsidRPr="00612D8C">
              <w:rPr>
                <w:rFonts w:asciiTheme="majorHAnsi" w:hAnsiTheme="majorHAnsi"/>
                <w:bCs/>
              </w:rPr>
              <w:t xml:space="preserve">submission </w:t>
            </w:r>
            <w:r w:rsidRPr="00612D8C">
              <w:rPr>
                <w:rFonts w:asciiTheme="majorHAnsi" w:hAnsiTheme="majorHAnsi"/>
              </w:rPr>
              <w:t xml:space="preserve">to </w:t>
            </w:r>
            <w:r w:rsidRPr="00C01589">
              <w:rPr>
                <w:rFonts w:asciiTheme="majorHAnsi" w:hAnsiTheme="majorHAnsi"/>
                <w:lang w:val="en"/>
              </w:rPr>
              <w:t>NCQA</w:t>
            </w:r>
            <w:r>
              <w:rPr>
                <w:rFonts w:asciiTheme="majorHAnsi" w:hAnsiTheme="majorHAnsi"/>
                <w:lang w:val="en"/>
              </w:rPr>
              <w:t xml:space="preserve"> </w:t>
            </w:r>
            <w:r>
              <w:rPr>
                <w:rFonts w:asciiTheme="majorHAnsi" w:hAnsiTheme="majorHAnsi"/>
                <w:bCs/>
              </w:rPr>
              <w:t xml:space="preserve">(via </w:t>
            </w:r>
            <w:r w:rsidRPr="00756219">
              <w:rPr>
                <w:rFonts w:asciiTheme="majorHAnsi" w:hAnsiTheme="majorHAnsi"/>
                <w:bCs/>
              </w:rPr>
              <w:t xml:space="preserve">a certificate or an email </w:t>
            </w:r>
            <w:r>
              <w:rPr>
                <w:rFonts w:asciiTheme="majorHAnsi" w:hAnsiTheme="majorHAnsi"/>
                <w:bCs/>
              </w:rPr>
              <w:t>from</w:t>
            </w:r>
            <w:r w:rsidRPr="00756219">
              <w:rPr>
                <w:rFonts w:asciiTheme="majorHAnsi" w:hAnsiTheme="majorHAnsi"/>
                <w:bCs/>
              </w:rPr>
              <w:t xml:space="preserve"> NCQA verifying submission</w:t>
            </w:r>
            <w:r>
              <w:rPr>
                <w:rFonts w:asciiTheme="majorHAnsi" w:hAnsiTheme="majorHAnsi"/>
                <w:bCs/>
              </w:rPr>
              <w:t>)</w:t>
            </w:r>
            <w:r w:rsidRPr="00756219">
              <w:rPr>
                <w:rFonts w:asciiTheme="majorHAnsi" w:hAnsiTheme="majorHAnsi"/>
                <w:bCs/>
              </w:rPr>
              <w:t xml:space="preserve"> </w:t>
            </w:r>
            <w:r>
              <w:rPr>
                <w:rFonts w:asciiTheme="majorHAnsi" w:hAnsiTheme="majorHAnsi"/>
                <w:lang w:val="en"/>
              </w:rPr>
              <w:t xml:space="preserve">by </w:t>
            </w:r>
            <w:r>
              <w:rPr>
                <w:rFonts w:asciiTheme="majorHAnsi" w:hAnsiTheme="majorHAnsi"/>
                <w:bCs/>
              </w:rPr>
              <w:t>July 31, 201</w:t>
            </w:r>
            <w:r w:rsidR="000F49CB">
              <w:rPr>
                <w:rFonts w:asciiTheme="majorHAnsi" w:hAnsiTheme="majorHAnsi"/>
                <w:bCs/>
              </w:rPr>
              <w:t>7</w:t>
            </w:r>
            <w:r>
              <w:rPr>
                <w:rFonts w:asciiTheme="majorHAnsi" w:hAnsiTheme="majorHAnsi"/>
                <w:bCs/>
              </w:rPr>
              <w:t>.</w:t>
            </w:r>
          </w:p>
        </w:tc>
      </w:tr>
      <w:tr w:rsidR="002964BE" w:rsidRPr="00612D8C" w:rsidTr="001A7C2C">
        <w:tc>
          <w:tcPr>
            <w:tcW w:w="2430" w:type="dxa"/>
            <w:vAlign w:val="center"/>
          </w:tcPr>
          <w:p w:rsidR="002964BE" w:rsidRPr="00612D8C" w:rsidRDefault="002964BE" w:rsidP="006D0FD9">
            <w:pPr>
              <w:rPr>
                <w:rFonts w:asciiTheme="majorHAnsi" w:hAnsiTheme="majorHAnsi"/>
                <w:bCs/>
              </w:rPr>
            </w:pPr>
            <w:r w:rsidRPr="00C01589">
              <w:rPr>
                <w:rFonts w:asciiTheme="majorHAnsi" w:hAnsiTheme="majorHAnsi"/>
                <w:lang w:val="en"/>
              </w:rPr>
              <w:t>Accreditation Association for Ambulatory Health Care (AAAHC)</w:t>
            </w:r>
          </w:p>
        </w:tc>
        <w:tc>
          <w:tcPr>
            <w:tcW w:w="7290" w:type="dxa"/>
            <w:vAlign w:val="center"/>
          </w:tcPr>
          <w:p w:rsidR="002964BE" w:rsidRPr="00612D8C" w:rsidRDefault="002964BE" w:rsidP="000F49CB">
            <w:pPr>
              <w:rPr>
                <w:rFonts w:asciiTheme="majorHAnsi" w:hAnsiTheme="majorHAnsi"/>
                <w:bCs/>
              </w:rPr>
            </w:pPr>
            <w:r>
              <w:rPr>
                <w:rFonts w:asciiTheme="majorHAnsi" w:hAnsiTheme="majorHAnsi"/>
                <w:bCs/>
              </w:rPr>
              <w:t>P</w:t>
            </w:r>
            <w:r w:rsidRPr="00612D8C">
              <w:rPr>
                <w:rFonts w:asciiTheme="majorHAnsi" w:hAnsiTheme="majorHAnsi"/>
                <w:bCs/>
              </w:rPr>
              <w:t xml:space="preserve">roof of the recognition </w:t>
            </w:r>
            <w:r>
              <w:rPr>
                <w:rFonts w:asciiTheme="majorHAnsi" w:hAnsiTheme="majorHAnsi"/>
                <w:bCs/>
              </w:rPr>
              <w:t>decision</w:t>
            </w:r>
            <w:r w:rsidRPr="00612D8C">
              <w:rPr>
                <w:rFonts w:asciiTheme="majorHAnsi" w:hAnsiTheme="majorHAnsi"/>
                <w:bCs/>
              </w:rPr>
              <w:t xml:space="preserve"> </w:t>
            </w:r>
            <w:r>
              <w:rPr>
                <w:rFonts w:asciiTheme="majorHAnsi" w:hAnsiTheme="majorHAnsi"/>
                <w:bCs/>
              </w:rPr>
              <w:t>or</w:t>
            </w:r>
            <w:r w:rsidRPr="00612D8C">
              <w:rPr>
                <w:rFonts w:asciiTheme="majorHAnsi" w:hAnsiTheme="majorHAnsi"/>
                <w:bCs/>
              </w:rPr>
              <w:t xml:space="preserve"> proof </w:t>
            </w:r>
            <w:r>
              <w:rPr>
                <w:rFonts w:asciiTheme="majorHAnsi" w:hAnsiTheme="majorHAnsi"/>
                <w:bCs/>
              </w:rPr>
              <w:t>that</w:t>
            </w:r>
            <w:r w:rsidRPr="00612D8C">
              <w:rPr>
                <w:rFonts w:asciiTheme="majorHAnsi" w:hAnsiTheme="majorHAnsi"/>
                <w:bCs/>
              </w:rPr>
              <w:t xml:space="preserve"> </w:t>
            </w:r>
            <w:r w:rsidR="00F130A8">
              <w:rPr>
                <w:rFonts w:asciiTheme="majorHAnsi" w:hAnsiTheme="majorHAnsi"/>
                <w:bCs/>
              </w:rPr>
              <w:t>the</w:t>
            </w:r>
            <w:r w:rsidR="00F130A8" w:rsidRPr="00612D8C">
              <w:rPr>
                <w:rFonts w:asciiTheme="majorHAnsi" w:hAnsiTheme="majorHAnsi"/>
                <w:bCs/>
              </w:rPr>
              <w:t xml:space="preserve"> </w:t>
            </w:r>
            <w:r w:rsidRPr="00612D8C">
              <w:rPr>
                <w:rFonts w:asciiTheme="majorHAnsi" w:hAnsiTheme="majorHAnsi"/>
                <w:bCs/>
              </w:rPr>
              <w:t xml:space="preserve">final </w:t>
            </w:r>
            <w:r>
              <w:rPr>
                <w:rFonts w:asciiTheme="majorHAnsi" w:hAnsiTheme="majorHAnsi"/>
                <w:bCs/>
              </w:rPr>
              <w:t>site visit</w:t>
            </w:r>
            <w:r w:rsidRPr="00612D8C">
              <w:rPr>
                <w:rFonts w:asciiTheme="majorHAnsi" w:hAnsiTheme="majorHAnsi"/>
                <w:bCs/>
              </w:rPr>
              <w:t xml:space="preserve"> </w:t>
            </w:r>
            <w:r>
              <w:rPr>
                <w:rFonts w:asciiTheme="majorHAnsi" w:hAnsiTheme="majorHAnsi"/>
              </w:rPr>
              <w:t>has been scheduled</w:t>
            </w:r>
            <w:r>
              <w:rPr>
                <w:rFonts w:asciiTheme="majorHAnsi" w:hAnsiTheme="majorHAnsi"/>
                <w:lang w:val="en"/>
              </w:rPr>
              <w:t xml:space="preserve"> by </w:t>
            </w:r>
            <w:r>
              <w:rPr>
                <w:rFonts w:asciiTheme="majorHAnsi" w:hAnsiTheme="majorHAnsi"/>
                <w:bCs/>
              </w:rPr>
              <w:t>July 31, 201</w:t>
            </w:r>
            <w:r w:rsidR="000F49CB">
              <w:rPr>
                <w:rFonts w:asciiTheme="majorHAnsi" w:hAnsiTheme="majorHAnsi"/>
                <w:bCs/>
              </w:rPr>
              <w:t>7</w:t>
            </w:r>
            <w:r>
              <w:rPr>
                <w:rFonts w:asciiTheme="majorHAnsi" w:hAnsiTheme="majorHAnsi"/>
                <w:bCs/>
              </w:rPr>
              <w:t>.</w:t>
            </w:r>
          </w:p>
        </w:tc>
      </w:tr>
      <w:tr w:rsidR="002964BE" w:rsidRPr="00612D8C" w:rsidTr="001A7C2C">
        <w:tc>
          <w:tcPr>
            <w:tcW w:w="2430" w:type="dxa"/>
            <w:vAlign w:val="center"/>
          </w:tcPr>
          <w:p w:rsidR="002964BE" w:rsidRPr="00C01589" w:rsidRDefault="002964BE" w:rsidP="006D0FD9">
            <w:pPr>
              <w:rPr>
                <w:rFonts w:asciiTheme="majorHAnsi" w:hAnsiTheme="majorHAnsi"/>
                <w:lang w:val="en"/>
              </w:rPr>
            </w:pPr>
            <w:r w:rsidRPr="00C01589">
              <w:rPr>
                <w:rFonts w:asciiTheme="majorHAnsi" w:hAnsiTheme="majorHAnsi"/>
                <w:lang w:val="en"/>
              </w:rPr>
              <w:t>The Joint Commission (TJC)</w:t>
            </w:r>
          </w:p>
        </w:tc>
        <w:tc>
          <w:tcPr>
            <w:tcW w:w="7290" w:type="dxa"/>
            <w:vAlign w:val="center"/>
          </w:tcPr>
          <w:p w:rsidR="002964BE" w:rsidRPr="00612D8C" w:rsidRDefault="002964BE" w:rsidP="000F49CB">
            <w:pPr>
              <w:rPr>
                <w:rFonts w:asciiTheme="majorHAnsi" w:hAnsiTheme="majorHAnsi"/>
                <w:bCs/>
              </w:rPr>
            </w:pPr>
            <w:r>
              <w:rPr>
                <w:rFonts w:asciiTheme="majorHAnsi" w:hAnsiTheme="majorHAnsi"/>
                <w:bCs/>
              </w:rPr>
              <w:t>P</w:t>
            </w:r>
            <w:r w:rsidRPr="00612D8C">
              <w:rPr>
                <w:rFonts w:asciiTheme="majorHAnsi" w:hAnsiTheme="majorHAnsi"/>
                <w:bCs/>
              </w:rPr>
              <w:t xml:space="preserve">roof of the recognition </w:t>
            </w:r>
            <w:r>
              <w:rPr>
                <w:rFonts w:asciiTheme="majorHAnsi" w:hAnsiTheme="majorHAnsi"/>
                <w:bCs/>
              </w:rPr>
              <w:t>decision</w:t>
            </w:r>
            <w:r w:rsidRPr="00612D8C">
              <w:rPr>
                <w:rFonts w:asciiTheme="majorHAnsi" w:hAnsiTheme="majorHAnsi"/>
                <w:bCs/>
              </w:rPr>
              <w:t xml:space="preserve"> </w:t>
            </w:r>
            <w:r>
              <w:rPr>
                <w:rFonts w:asciiTheme="majorHAnsi" w:hAnsiTheme="majorHAnsi"/>
                <w:bCs/>
              </w:rPr>
              <w:t>or</w:t>
            </w:r>
            <w:r w:rsidRPr="00612D8C">
              <w:rPr>
                <w:rFonts w:asciiTheme="majorHAnsi" w:hAnsiTheme="majorHAnsi"/>
                <w:bCs/>
              </w:rPr>
              <w:t xml:space="preserve"> proof </w:t>
            </w:r>
            <w:r>
              <w:rPr>
                <w:rFonts w:asciiTheme="majorHAnsi" w:hAnsiTheme="majorHAnsi"/>
                <w:bCs/>
              </w:rPr>
              <w:t>that</w:t>
            </w:r>
            <w:r w:rsidRPr="00612D8C">
              <w:rPr>
                <w:rFonts w:asciiTheme="majorHAnsi" w:hAnsiTheme="majorHAnsi"/>
                <w:bCs/>
              </w:rPr>
              <w:t xml:space="preserve"> </w:t>
            </w:r>
            <w:r w:rsidR="00A72E7F" w:rsidRPr="00A72E7F">
              <w:rPr>
                <w:rFonts w:asciiTheme="majorHAnsi" w:hAnsiTheme="majorHAnsi"/>
                <w:bCs/>
              </w:rPr>
              <w:t xml:space="preserve">the health center’s </w:t>
            </w:r>
            <w:r w:rsidRPr="00612D8C">
              <w:rPr>
                <w:rFonts w:asciiTheme="majorHAnsi" w:hAnsiTheme="majorHAnsi"/>
                <w:bCs/>
              </w:rPr>
              <w:t xml:space="preserve">final </w:t>
            </w:r>
            <w:r>
              <w:rPr>
                <w:rFonts w:asciiTheme="majorHAnsi" w:hAnsiTheme="majorHAnsi"/>
                <w:bCs/>
              </w:rPr>
              <w:t>site visit</w:t>
            </w:r>
            <w:r w:rsidRPr="00612D8C">
              <w:rPr>
                <w:rFonts w:asciiTheme="majorHAnsi" w:hAnsiTheme="majorHAnsi"/>
                <w:bCs/>
              </w:rPr>
              <w:t xml:space="preserve"> </w:t>
            </w:r>
            <w:r>
              <w:rPr>
                <w:rFonts w:asciiTheme="majorHAnsi" w:hAnsiTheme="majorHAnsi"/>
              </w:rPr>
              <w:t>has been scheduled</w:t>
            </w:r>
            <w:r>
              <w:rPr>
                <w:rFonts w:asciiTheme="majorHAnsi" w:hAnsiTheme="majorHAnsi"/>
                <w:lang w:val="en"/>
              </w:rPr>
              <w:t xml:space="preserve"> by </w:t>
            </w:r>
            <w:r>
              <w:rPr>
                <w:rFonts w:asciiTheme="majorHAnsi" w:hAnsiTheme="majorHAnsi"/>
                <w:bCs/>
              </w:rPr>
              <w:t>July 31, 201</w:t>
            </w:r>
            <w:r w:rsidR="000F49CB">
              <w:rPr>
                <w:rFonts w:asciiTheme="majorHAnsi" w:hAnsiTheme="majorHAnsi"/>
                <w:bCs/>
              </w:rPr>
              <w:t>7</w:t>
            </w:r>
            <w:r>
              <w:rPr>
                <w:rFonts w:asciiTheme="majorHAnsi" w:hAnsiTheme="majorHAnsi"/>
                <w:bCs/>
              </w:rPr>
              <w:t>.</w:t>
            </w:r>
          </w:p>
        </w:tc>
      </w:tr>
      <w:tr w:rsidR="002964BE" w:rsidRPr="00612D8C" w:rsidTr="001A7C2C">
        <w:tc>
          <w:tcPr>
            <w:tcW w:w="2430" w:type="dxa"/>
            <w:vAlign w:val="center"/>
          </w:tcPr>
          <w:p w:rsidR="002964BE" w:rsidRPr="00C01589" w:rsidRDefault="002964BE" w:rsidP="006D0FD9">
            <w:pPr>
              <w:rPr>
                <w:rFonts w:asciiTheme="majorHAnsi" w:hAnsiTheme="majorHAnsi"/>
                <w:lang w:val="en"/>
              </w:rPr>
            </w:pPr>
            <w:r>
              <w:rPr>
                <w:rFonts w:asciiTheme="majorHAnsi" w:hAnsiTheme="majorHAnsi"/>
                <w:lang w:val="en"/>
              </w:rPr>
              <w:t>Minnesota Health Care Home</w:t>
            </w:r>
          </w:p>
        </w:tc>
        <w:tc>
          <w:tcPr>
            <w:tcW w:w="7290" w:type="dxa"/>
            <w:vAlign w:val="center"/>
          </w:tcPr>
          <w:p w:rsidR="002964BE" w:rsidRPr="00612D8C" w:rsidRDefault="002964BE" w:rsidP="006D0FD9">
            <w:pPr>
              <w:rPr>
                <w:rFonts w:asciiTheme="majorHAnsi" w:hAnsiTheme="majorHAnsi"/>
                <w:bCs/>
              </w:rPr>
            </w:pPr>
            <w:r>
              <w:rPr>
                <w:rFonts w:asciiTheme="majorHAnsi" w:hAnsiTheme="majorHAnsi"/>
                <w:bCs/>
              </w:rPr>
              <w:t>P</w:t>
            </w:r>
            <w:r w:rsidRPr="00612D8C">
              <w:rPr>
                <w:rFonts w:asciiTheme="majorHAnsi" w:hAnsiTheme="majorHAnsi"/>
                <w:bCs/>
              </w:rPr>
              <w:t xml:space="preserve">roof of the recognition </w:t>
            </w:r>
            <w:r>
              <w:rPr>
                <w:rFonts w:asciiTheme="majorHAnsi" w:hAnsiTheme="majorHAnsi"/>
                <w:bCs/>
              </w:rPr>
              <w:t>decision</w:t>
            </w:r>
            <w:r w:rsidRPr="00612D8C">
              <w:rPr>
                <w:rFonts w:asciiTheme="majorHAnsi" w:hAnsiTheme="majorHAnsi"/>
                <w:bCs/>
              </w:rPr>
              <w:t xml:space="preserve"> </w:t>
            </w:r>
            <w:r>
              <w:rPr>
                <w:rFonts w:asciiTheme="majorHAnsi" w:hAnsiTheme="majorHAnsi"/>
                <w:bCs/>
              </w:rPr>
              <w:t>or</w:t>
            </w:r>
            <w:r w:rsidRPr="00612D8C">
              <w:rPr>
                <w:rFonts w:asciiTheme="majorHAnsi" w:hAnsiTheme="majorHAnsi"/>
                <w:bCs/>
              </w:rPr>
              <w:t xml:space="preserve"> </w:t>
            </w:r>
            <w:r>
              <w:rPr>
                <w:rFonts w:asciiTheme="majorHAnsi" w:hAnsiTheme="majorHAnsi"/>
                <w:bCs/>
              </w:rPr>
              <w:t>other documentation</w:t>
            </w:r>
            <w:r w:rsidRPr="00612D8C">
              <w:rPr>
                <w:rFonts w:asciiTheme="majorHAnsi" w:hAnsiTheme="majorHAnsi"/>
                <w:bCs/>
              </w:rPr>
              <w:t xml:space="preserve"> </w:t>
            </w:r>
            <w:r>
              <w:rPr>
                <w:rFonts w:asciiTheme="majorHAnsi" w:hAnsiTheme="majorHAnsi"/>
                <w:bCs/>
              </w:rPr>
              <w:t xml:space="preserve">that demonstrates implementation of steps necessary to achieve recognition through the </w:t>
            </w:r>
            <w:r>
              <w:rPr>
                <w:rFonts w:asciiTheme="majorHAnsi" w:hAnsiTheme="majorHAnsi"/>
                <w:lang w:val="en"/>
              </w:rPr>
              <w:t xml:space="preserve">Minnesota Health Care Home process by </w:t>
            </w:r>
            <w:r w:rsidR="000F49CB">
              <w:rPr>
                <w:rFonts w:asciiTheme="majorHAnsi" w:hAnsiTheme="majorHAnsi"/>
                <w:bCs/>
              </w:rPr>
              <w:t>July 31, 2017</w:t>
            </w:r>
            <w:r>
              <w:rPr>
                <w:rFonts w:asciiTheme="majorHAnsi" w:hAnsiTheme="majorHAnsi"/>
                <w:bCs/>
              </w:rPr>
              <w:t>.</w:t>
            </w:r>
          </w:p>
        </w:tc>
      </w:tr>
      <w:tr w:rsidR="002964BE" w:rsidRPr="00612D8C" w:rsidTr="001A7C2C">
        <w:tc>
          <w:tcPr>
            <w:tcW w:w="2430" w:type="dxa"/>
            <w:vAlign w:val="center"/>
          </w:tcPr>
          <w:p w:rsidR="002964BE" w:rsidRDefault="002964BE" w:rsidP="006D0FD9">
            <w:pPr>
              <w:rPr>
                <w:rFonts w:asciiTheme="majorHAnsi" w:hAnsiTheme="majorHAnsi"/>
                <w:lang w:val="en"/>
              </w:rPr>
            </w:pPr>
            <w:r w:rsidRPr="00C01589">
              <w:rPr>
                <w:rFonts w:asciiTheme="majorHAnsi" w:hAnsiTheme="majorHAnsi"/>
                <w:lang w:val="en"/>
              </w:rPr>
              <w:t>Oregon Patient-Centered Primary Care Home Program</w:t>
            </w:r>
          </w:p>
        </w:tc>
        <w:tc>
          <w:tcPr>
            <w:tcW w:w="7290" w:type="dxa"/>
            <w:vAlign w:val="center"/>
          </w:tcPr>
          <w:p w:rsidR="002964BE" w:rsidRPr="00612D8C" w:rsidRDefault="002964BE" w:rsidP="006D0FD9">
            <w:pPr>
              <w:rPr>
                <w:rFonts w:asciiTheme="majorHAnsi" w:hAnsiTheme="majorHAnsi"/>
                <w:bCs/>
              </w:rPr>
            </w:pPr>
            <w:r>
              <w:rPr>
                <w:rFonts w:asciiTheme="majorHAnsi" w:hAnsiTheme="majorHAnsi"/>
                <w:bCs/>
              </w:rPr>
              <w:t>P</w:t>
            </w:r>
            <w:r w:rsidRPr="00612D8C">
              <w:rPr>
                <w:rFonts w:asciiTheme="majorHAnsi" w:hAnsiTheme="majorHAnsi"/>
                <w:bCs/>
              </w:rPr>
              <w:t xml:space="preserve">roof of the recognition </w:t>
            </w:r>
            <w:r>
              <w:rPr>
                <w:rFonts w:asciiTheme="majorHAnsi" w:hAnsiTheme="majorHAnsi"/>
                <w:bCs/>
              </w:rPr>
              <w:t>decision</w:t>
            </w:r>
            <w:r w:rsidRPr="00612D8C">
              <w:rPr>
                <w:rFonts w:asciiTheme="majorHAnsi" w:hAnsiTheme="majorHAnsi"/>
                <w:bCs/>
              </w:rPr>
              <w:t xml:space="preserve"> </w:t>
            </w:r>
            <w:r>
              <w:rPr>
                <w:rFonts w:asciiTheme="majorHAnsi" w:hAnsiTheme="majorHAnsi"/>
                <w:bCs/>
              </w:rPr>
              <w:t>or</w:t>
            </w:r>
            <w:r w:rsidRPr="00612D8C">
              <w:rPr>
                <w:rFonts w:asciiTheme="majorHAnsi" w:hAnsiTheme="majorHAnsi"/>
                <w:bCs/>
              </w:rPr>
              <w:t xml:space="preserve"> </w:t>
            </w:r>
            <w:r>
              <w:rPr>
                <w:rFonts w:asciiTheme="majorHAnsi" w:hAnsiTheme="majorHAnsi"/>
                <w:bCs/>
              </w:rPr>
              <w:t>other documentation</w:t>
            </w:r>
            <w:r w:rsidRPr="00612D8C">
              <w:rPr>
                <w:rFonts w:asciiTheme="majorHAnsi" w:hAnsiTheme="majorHAnsi"/>
                <w:bCs/>
              </w:rPr>
              <w:t xml:space="preserve"> </w:t>
            </w:r>
            <w:r>
              <w:rPr>
                <w:rFonts w:asciiTheme="majorHAnsi" w:hAnsiTheme="majorHAnsi"/>
                <w:bCs/>
              </w:rPr>
              <w:t xml:space="preserve">that demonstrates implementation of steps necessary to achieve recognition through the </w:t>
            </w:r>
            <w:r w:rsidRPr="00C01589">
              <w:rPr>
                <w:rFonts w:asciiTheme="majorHAnsi" w:hAnsiTheme="majorHAnsi"/>
                <w:lang w:val="en"/>
              </w:rPr>
              <w:t>Oregon Patient-Centered Primary Care Home Program</w:t>
            </w:r>
            <w:r>
              <w:rPr>
                <w:rFonts w:asciiTheme="majorHAnsi" w:hAnsiTheme="majorHAnsi"/>
                <w:lang w:val="en"/>
              </w:rPr>
              <w:t xml:space="preserve"> process by </w:t>
            </w:r>
            <w:r w:rsidR="000F49CB">
              <w:rPr>
                <w:rFonts w:asciiTheme="majorHAnsi" w:hAnsiTheme="majorHAnsi"/>
                <w:bCs/>
              </w:rPr>
              <w:t>July 31, 2017</w:t>
            </w:r>
            <w:r>
              <w:rPr>
                <w:rFonts w:asciiTheme="majorHAnsi" w:hAnsiTheme="majorHAnsi"/>
                <w:bCs/>
              </w:rPr>
              <w:t>.</w:t>
            </w:r>
          </w:p>
        </w:tc>
      </w:tr>
    </w:tbl>
    <w:p w:rsidR="002964BE" w:rsidRPr="002B4866" w:rsidRDefault="002964BE" w:rsidP="002964BE">
      <w:pPr>
        <w:rPr>
          <w:rFonts w:asciiTheme="majorHAnsi" w:hAnsiTheme="majorHAnsi"/>
        </w:rPr>
      </w:pPr>
    </w:p>
    <w:p w:rsidR="00634BF9" w:rsidRPr="002B4866" w:rsidRDefault="00634BF9" w:rsidP="002D0F24">
      <w:pPr>
        <w:pStyle w:val="Heading1"/>
        <w:spacing w:before="0" w:after="60"/>
        <w:rPr>
          <w:bCs w:val="0"/>
          <w:color w:val="auto"/>
          <w:sz w:val="24"/>
          <w:szCs w:val="24"/>
        </w:rPr>
      </w:pPr>
      <w:bookmarkStart w:id="9" w:name="_Toc449951374"/>
      <w:r w:rsidRPr="002B4866">
        <w:rPr>
          <w:bCs w:val="0"/>
          <w:color w:val="auto"/>
          <w:sz w:val="24"/>
          <w:szCs w:val="24"/>
        </w:rPr>
        <w:t>Post Award Reporting Requirements</w:t>
      </w:r>
      <w:bookmarkEnd w:id="9"/>
    </w:p>
    <w:p w:rsidR="00634BF9" w:rsidRDefault="00634BF9" w:rsidP="002D0F24">
      <w:pPr>
        <w:rPr>
          <w:rFonts w:asciiTheme="majorHAnsi" w:hAnsiTheme="majorHAnsi"/>
        </w:rPr>
      </w:pPr>
      <w:r>
        <w:rPr>
          <w:rFonts w:asciiTheme="majorHAnsi" w:hAnsiTheme="majorHAnsi"/>
        </w:rPr>
        <w:t xml:space="preserve">Health centers that receive FY 2016 </w:t>
      </w:r>
      <w:r w:rsidRPr="002B4866">
        <w:rPr>
          <w:rFonts w:asciiTheme="majorHAnsi" w:hAnsiTheme="majorHAnsi"/>
        </w:rPr>
        <w:t>PCMH supplemental funding</w:t>
      </w:r>
      <w:r>
        <w:rPr>
          <w:rFonts w:asciiTheme="majorHAnsi" w:hAnsiTheme="majorHAnsi"/>
        </w:rPr>
        <w:t xml:space="preserve"> are required to participate in a HRSA-led technical assistance webinar approximately six months post-award</w:t>
      </w:r>
      <w:r w:rsidR="00C94AE7">
        <w:rPr>
          <w:rFonts w:asciiTheme="majorHAnsi" w:hAnsiTheme="majorHAnsi"/>
        </w:rPr>
        <w:t xml:space="preserve"> (additional information will be provided to successful applicants)</w:t>
      </w:r>
      <w:r>
        <w:rPr>
          <w:rFonts w:asciiTheme="majorHAnsi" w:hAnsiTheme="majorHAnsi"/>
        </w:rPr>
        <w:t xml:space="preserve">.  </w:t>
      </w:r>
      <w:r w:rsidRPr="002B4866">
        <w:rPr>
          <w:rFonts w:asciiTheme="majorHAnsi" w:hAnsiTheme="majorHAnsi"/>
        </w:rPr>
        <w:t xml:space="preserve">Health centers </w:t>
      </w:r>
      <w:r w:rsidR="00EB555C">
        <w:rPr>
          <w:rFonts w:asciiTheme="majorHAnsi" w:hAnsiTheme="majorHAnsi"/>
        </w:rPr>
        <w:t>must</w:t>
      </w:r>
      <w:r w:rsidR="00EB555C" w:rsidRPr="002B4866">
        <w:rPr>
          <w:rFonts w:asciiTheme="majorHAnsi" w:hAnsiTheme="majorHAnsi"/>
        </w:rPr>
        <w:t xml:space="preserve"> </w:t>
      </w:r>
      <w:r>
        <w:rPr>
          <w:rFonts w:asciiTheme="majorHAnsi" w:hAnsiTheme="majorHAnsi"/>
        </w:rPr>
        <w:t xml:space="preserve">also </w:t>
      </w:r>
      <w:r w:rsidRPr="002B4866">
        <w:rPr>
          <w:rFonts w:asciiTheme="majorHAnsi" w:hAnsiTheme="majorHAnsi"/>
        </w:rPr>
        <w:t xml:space="preserve">submit a </w:t>
      </w:r>
      <w:r>
        <w:rPr>
          <w:rFonts w:asciiTheme="majorHAnsi" w:hAnsiTheme="majorHAnsi"/>
        </w:rPr>
        <w:t>final</w:t>
      </w:r>
      <w:r w:rsidRPr="002B4866">
        <w:rPr>
          <w:rFonts w:asciiTheme="majorHAnsi" w:hAnsiTheme="majorHAnsi"/>
        </w:rPr>
        <w:t xml:space="preserve"> report </w:t>
      </w:r>
      <w:r>
        <w:rPr>
          <w:rFonts w:asciiTheme="majorHAnsi" w:hAnsiTheme="majorHAnsi"/>
        </w:rPr>
        <w:t xml:space="preserve">approximately </w:t>
      </w:r>
      <w:r w:rsidR="00804360">
        <w:rPr>
          <w:rFonts w:asciiTheme="majorHAnsi" w:hAnsiTheme="majorHAnsi"/>
        </w:rPr>
        <w:t>45 days following the end of the 12 month funding period</w:t>
      </w:r>
      <w:r w:rsidR="00804360" w:rsidRPr="002B4866">
        <w:rPr>
          <w:rFonts w:asciiTheme="majorHAnsi" w:hAnsiTheme="majorHAnsi"/>
        </w:rPr>
        <w:t xml:space="preserve"> </w:t>
      </w:r>
      <w:r w:rsidRPr="002B4866">
        <w:rPr>
          <w:rFonts w:asciiTheme="majorHAnsi" w:hAnsiTheme="majorHAnsi"/>
        </w:rPr>
        <w:t xml:space="preserve">describing progress made toward </w:t>
      </w:r>
      <w:r>
        <w:rPr>
          <w:rFonts w:asciiTheme="majorHAnsi" w:hAnsiTheme="majorHAnsi"/>
        </w:rPr>
        <w:t xml:space="preserve">achieving their </w:t>
      </w:r>
      <w:r w:rsidR="001A7C2C">
        <w:rPr>
          <w:rFonts w:asciiTheme="majorHAnsi" w:hAnsiTheme="majorHAnsi"/>
        </w:rPr>
        <w:t>proposed</w:t>
      </w:r>
      <w:r w:rsidR="00804360">
        <w:rPr>
          <w:rFonts w:asciiTheme="majorHAnsi" w:hAnsiTheme="majorHAnsi"/>
        </w:rPr>
        <w:t xml:space="preserve"> outcomes</w:t>
      </w:r>
      <w:r>
        <w:rPr>
          <w:rFonts w:asciiTheme="majorHAnsi" w:hAnsiTheme="majorHAnsi"/>
        </w:rPr>
        <w:t xml:space="preserve"> (see</w:t>
      </w:r>
      <w:r w:rsidR="00804360">
        <w:rPr>
          <w:rFonts w:asciiTheme="majorHAnsi" w:hAnsiTheme="majorHAnsi"/>
        </w:rPr>
        <w:t xml:space="preserve"> </w:t>
      </w:r>
      <w:hyperlink w:anchor="_Appendix_A:_Application" w:history="1">
        <w:r w:rsidRPr="00C94AE7">
          <w:rPr>
            <w:rStyle w:val="Hyperlink"/>
            <w:rFonts w:asciiTheme="majorHAnsi" w:hAnsiTheme="majorHAnsi" w:cstheme="minorBidi"/>
          </w:rPr>
          <w:t>Appendix A</w:t>
        </w:r>
      </w:hyperlink>
      <w:r>
        <w:rPr>
          <w:rFonts w:asciiTheme="majorHAnsi" w:hAnsiTheme="majorHAnsi"/>
        </w:rPr>
        <w:t>)</w:t>
      </w:r>
      <w:r w:rsidRPr="002B4866">
        <w:rPr>
          <w:rFonts w:asciiTheme="majorHAnsi" w:hAnsiTheme="majorHAnsi"/>
        </w:rPr>
        <w:t>, lessons learned, barriers or challenges experienced while implementing activities</w:t>
      </w:r>
      <w:r w:rsidR="00531758">
        <w:rPr>
          <w:rFonts w:asciiTheme="majorHAnsi" w:hAnsiTheme="majorHAnsi"/>
        </w:rPr>
        <w:t xml:space="preserve">, and documentation of proof of recognition </w:t>
      </w:r>
      <w:r w:rsidR="007F408E">
        <w:rPr>
          <w:rFonts w:asciiTheme="majorHAnsi" w:hAnsiTheme="majorHAnsi"/>
        </w:rPr>
        <w:t>(</w:t>
      </w:r>
      <w:r w:rsidR="009D1AE4">
        <w:rPr>
          <w:rFonts w:asciiTheme="majorHAnsi" w:hAnsiTheme="majorHAnsi"/>
        </w:rPr>
        <w:t>see above Table, as applicable</w:t>
      </w:r>
      <w:r w:rsidR="007F408E">
        <w:rPr>
          <w:rFonts w:asciiTheme="majorHAnsi" w:hAnsiTheme="majorHAnsi"/>
        </w:rPr>
        <w:t>)</w:t>
      </w:r>
      <w:r>
        <w:rPr>
          <w:rFonts w:asciiTheme="majorHAnsi" w:hAnsiTheme="majorHAnsi"/>
        </w:rPr>
        <w:t>.</w:t>
      </w:r>
    </w:p>
    <w:p w:rsidR="00C81586" w:rsidRPr="007F408E" w:rsidRDefault="00C81586" w:rsidP="00C81586"/>
    <w:p w:rsidR="00C71600" w:rsidRPr="002B4866" w:rsidRDefault="00C71600" w:rsidP="00C71600">
      <w:pPr>
        <w:pStyle w:val="Heading1"/>
        <w:spacing w:before="0" w:after="60"/>
        <w:rPr>
          <w:bCs w:val="0"/>
          <w:color w:val="auto"/>
          <w:sz w:val="24"/>
          <w:szCs w:val="24"/>
        </w:rPr>
      </w:pPr>
      <w:bookmarkStart w:id="10" w:name="_Toc449951375"/>
      <w:r w:rsidRPr="002B4866">
        <w:rPr>
          <w:bCs w:val="0"/>
          <w:color w:val="auto"/>
          <w:sz w:val="24"/>
          <w:szCs w:val="24"/>
        </w:rPr>
        <w:t>Application Deadline and Award Notice</w:t>
      </w:r>
      <w:bookmarkEnd w:id="10"/>
    </w:p>
    <w:p w:rsidR="00C71600" w:rsidRDefault="00C71600" w:rsidP="00C71600">
      <w:pPr>
        <w:rPr>
          <w:rFonts w:asciiTheme="majorHAnsi" w:hAnsiTheme="majorHAnsi"/>
        </w:rPr>
      </w:pPr>
      <w:r w:rsidRPr="002B4866">
        <w:rPr>
          <w:rFonts w:asciiTheme="majorHAnsi" w:hAnsiTheme="majorHAnsi"/>
        </w:rPr>
        <w:t xml:space="preserve">The </w:t>
      </w:r>
      <w:r>
        <w:rPr>
          <w:rFonts w:asciiTheme="majorHAnsi" w:hAnsiTheme="majorHAnsi"/>
          <w:bCs/>
        </w:rPr>
        <w:t xml:space="preserve">FY 2016 </w:t>
      </w:r>
      <w:r w:rsidRPr="002B4866">
        <w:rPr>
          <w:rFonts w:asciiTheme="majorHAnsi" w:hAnsiTheme="majorHAnsi"/>
        </w:rPr>
        <w:t xml:space="preserve">PCMH supplemental funding application is due in EHB by </w:t>
      </w:r>
      <w:r w:rsidRPr="002B4866">
        <w:rPr>
          <w:rFonts w:asciiTheme="majorHAnsi" w:hAnsiTheme="majorHAnsi"/>
          <w:b/>
          <w:bCs/>
        </w:rPr>
        <w:t xml:space="preserve">5:00 PM ET on </w:t>
      </w:r>
      <w:r>
        <w:rPr>
          <w:rFonts w:asciiTheme="majorHAnsi" w:hAnsiTheme="majorHAnsi"/>
          <w:b/>
          <w:bCs/>
        </w:rPr>
        <w:t xml:space="preserve">May </w:t>
      </w:r>
      <w:r w:rsidR="00101E25">
        <w:rPr>
          <w:rFonts w:asciiTheme="majorHAnsi" w:hAnsiTheme="majorHAnsi"/>
          <w:b/>
          <w:bCs/>
        </w:rPr>
        <w:t>3</w:t>
      </w:r>
      <w:r>
        <w:rPr>
          <w:rFonts w:asciiTheme="majorHAnsi" w:hAnsiTheme="majorHAnsi"/>
          <w:b/>
          <w:bCs/>
        </w:rPr>
        <w:t>1</w:t>
      </w:r>
      <w:r w:rsidRPr="002B4866">
        <w:rPr>
          <w:rFonts w:asciiTheme="majorHAnsi" w:hAnsiTheme="majorHAnsi"/>
          <w:b/>
          <w:bCs/>
        </w:rPr>
        <w:t>, 2016</w:t>
      </w:r>
      <w:r w:rsidRPr="002B4866">
        <w:rPr>
          <w:rFonts w:asciiTheme="majorHAnsi" w:hAnsiTheme="majorHAnsi"/>
        </w:rPr>
        <w:t xml:space="preserve">.  HRSA anticipates awarding FY 2016 PCMH supplemental funding in </w:t>
      </w:r>
      <w:r>
        <w:rPr>
          <w:rFonts w:asciiTheme="majorHAnsi" w:hAnsiTheme="majorHAnsi"/>
          <w:b/>
        </w:rPr>
        <w:t>August</w:t>
      </w:r>
      <w:r w:rsidRPr="002B4866">
        <w:rPr>
          <w:rFonts w:asciiTheme="majorHAnsi" w:hAnsiTheme="majorHAnsi"/>
          <w:b/>
        </w:rPr>
        <w:t xml:space="preserve"> 2016</w:t>
      </w:r>
      <w:r w:rsidRPr="002B4866">
        <w:rPr>
          <w:rFonts w:asciiTheme="majorHAnsi" w:hAnsiTheme="majorHAnsi"/>
        </w:rPr>
        <w:t>.</w:t>
      </w:r>
    </w:p>
    <w:p w:rsidR="00C81586" w:rsidRPr="007F408E" w:rsidRDefault="00C81586" w:rsidP="00C81586"/>
    <w:p w:rsidR="00796043" w:rsidRPr="005B4B8B" w:rsidRDefault="00C71600" w:rsidP="004E36E3">
      <w:pPr>
        <w:pStyle w:val="Heading1"/>
        <w:spacing w:before="0" w:after="60"/>
        <w:rPr>
          <w:bCs w:val="0"/>
          <w:color w:val="auto"/>
          <w:sz w:val="24"/>
          <w:szCs w:val="24"/>
        </w:rPr>
      </w:pPr>
      <w:bookmarkStart w:id="11" w:name="_Toc449951376"/>
      <w:r w:rsidRPr="004E36E3">
        <w:rPr>
          <w:bCs w:val="0"/>
          <w:color w:val="auto"/>
          <w:sz w:val="24"/>
          <w:szCs w:val="24"/>
        </w:rPr>
        <w:t>Re</w:t>
      </w:r>
      <w:r>
        <w:rPr>
          <w:bCs w:val="0"/>
          <w:color w:val="auto"/>
          <w:sz w:val="24"/>
          <w:szCs w:val="24"/>
        </w:rPr>
        <w:t>s</w:t>
      </w:r>
      <w:r w:rsidR="002F2F57" w:rsidRPr="005B4B8B">
        <w:rPr>
          <w:bCs w:val="0"/>
          <w:color w:val="auto"/>
          <w:sz w:val="24"/>
          <w:szCs w:val="24"/>
        </w:rPr>
        <w:t>ources</w:t>
      </w:r>
      <w:bookmarkEnd w:id="11"/>
    </w:p>
    <w:p w:rsidR="00791E9A" w:rsidRDefault="00EE33E3" w:rsidP="002D0F24">
      <w:pPr>
        <w:rPr>
          <w:rFonts w:asciiTheme="majorHAnsi" w:hAnsiTheme="majorHAnsi"/>
        </w:rPr>
      </w:pPr>
      <w:r w:rsidRPr="00BE2DBE">
        <w:rPr>
          <w:rFonts w:asciiTheme="majorHAnsi" w:hAnsiTheme="majorHAnsi"/>
        </w:rPr>
        <w:t>Applicants</w:t>
      </w:r>
      <w:r w:rsidR="00791E9A" w:rsidRPr="00BE2DBE">
        <w:rPr>
          <w:rFonts w:asciiTheme="majorHAnsi" w:hAnsiTheme="majorHAnsi"/>
        </w:rPr>
        <w:t xml:space="preserve"> are encouraged to </w:t>
      </w:r>
      <w:r w:rsidR="00DE4508">
        <w:rPr>
          <w:rFonts w:asciiTheme="majorHAnsi" w:hAnsiTheme="majorHAnsi"/>
        </w:rPr>
        <w:t xml:space="preserve">access the information and tools available on the websites listed below when developing proposals for the FY 2016 PCMH supplemental </w:t>
      </w:r>
      <w:r w:rsidR="003977B2">
        <w:rPr>
          <w:rFonts w:asciiTheme="majorHAnsi" w:hAnsiTheme="majorHAnsi"/>
        </w:rPr>
        <w:t>funding</w:t>
      </w:r>
      <w:r w:rsidR="00DE4508">
        <w:rPr>
          <w:rFonts w:asciiTheme="majorHAnsi" w:hAnsiTheme="majorHAnsi"/>
        </w:rPr>
        <w:t xml:space="preserve"> opportunity</w:t>
      </w:r>
      <w:r w:rsidR="00BC4348">
        <w:rPr>
          <w:rFonts w:asciiTheme="majorHAnsi" w:hAnsiTheme="majorHAnsi"/>
        </w:rPr>
        <w:t>.</w:t>
      </w:r>
      <w:r w:rsidR="00BC4348" w:rsidRPr="00BC4348">
        <w:t xml:space="preserve"> </w:t>
      </w:r>
    </w:p>
    <w:tbl>
      <w:tblPr>
        <w:tblStyle w:val="TableGrid"/>
        <w:tblW w:w="9540" w:type="dxa"/>
        <w:tblInd w:w="108" w:type="dxa"/>
        <w:tblLayout w:type="fixed"/>
        <w:tblLook w:val="04A0" w:firstRow="1" w:lastRow="0" w:firstColumn="1" w:lastColumn="0" w:noHBand="0" w:noVBand="1"/>
        <w:tblCaption w:val="Resources"/>
      </w:tblPr>
      <w:tblGrid>
        <w:gridCol w:w="2430"/>
        <w:gridCol w:w="7110"/>
      </w:tblGrid>
      <w:tr w:rsidR="00F46013" w:rsidTr="00D23415">
        <w:trPr>
          <w:tblHeader/>
        </w:trPr>
        <w:tc>
          <w:tcPr>
            <w:tcW w:w="2430" w:type="dxa"/>
            <w:tcBorders>
              <w:bottom w:val="single" w:sz="4" w:space="0" w:color="auto"/>
            </w:tcBorders>
            <w:shd w:val="clear" w:color="auto" w:fill="DBE5F1" w:themeFill="accent1" w:themeFillTint="33"/>
          </w:tcPr>
          <w:p w:rsidR="00F46013" w:rsidRPr="00B477BD" w:rsidRDefault="00F46013" w:rsidP="002D0F24">
            <w:pPr>
              <w:keepNext/>
              <w:rPr>
                <w:rFonts w:asciiTheme="majorHAnsi" w:hAnsiTheme="majorHAnsi"/>
                <w:b/>
              </w:rPr>
            </w:pPr>
            <w:r w:rsidRPr="00B477BD">
              <w:rPr>
                <w:rFonts w:asciiTheme="majorHAnsi" w:hAnsiTheme="majorHAnsi"/>
                <w:b/>
              </w:rPr>
              <w:t>Resource</w:t>
            </w:r>
          </w:p>
        </w:tc>
        <w:tc>
          <w:tcPr>
            <w:tcW w:w="7110" w:type="dxa"/>
            <w:tcBorders>
              <w:bottom w:val="single" w:sz="4" w:space="0" w:color="auto"/>
            </w:tcBorders>
            <w:shd w:val="clear" w:color="auto" w:fill="DBE5F1" w:themeFill="accent1" w:themeFillTint="33"/>
          </w:tcPr>
          <w:p w:rsidR="00F46013" w:rsidRPr="00B477BD" w:rsidRDefault="00F46013" w:rsidP="002D0F24">
            <w:pPr>
              <w:keepNext/>
              <w:rPr>
                <w:rFonts w:asciiTheme="majorHAnsi" w:hAnsiTheme="majorHAnsi"/>
                <w:b/>
              </w:rPr>
            </w:pPr>
            <w:r w:rsidRPr="00B477BD">
              <w:rPr>
                <w:rFonts w:asciiTheme="majorHAnsi" w:hAnsiTheme="majorHAnsi"/>
                <w:b/>
              </w:rPr>
              <w:t>Description</w:t>
            </w:r>
          </w:p>
        </w:tc>
      </w:tr>
      <w:tr w:rsidR="00F46013" w:rsidTr="00D23415">
        <w:tc>
          <w:tcPr>
            <w:tcW w:w="2430" w:type="dxa"/>
            <w:vAlign w:val="center"/>
          </w:tcPr>
          <w:p w:rsidR="00F46013" w:rsidRDefault="00EB555C" w:rsidP="00003FAF">
            <w:pPr>
              <w:rPr>
                <w:rFonts w:asciiTheme="majorHAnsi" w:hAnsiTheme="majorHAnsi"/>
              </w:rPr>
            </w:pPr>
            <w:bookmarkStart w:id="12" w:name="HRSAPCMHInitiative"/>
            <w:r w:rsidRPr="00F46013">
              <w:rPr>
                <w:rFonts w:asciiTheme="majorHAnsi" w:hAnsiTheme="majorHAnsi"/>
              </w:rPr>
              <w:t xml:space="preserve">HRSA </w:t>
            </w:r>
            <w:r>
              <w:rPr>
                <w:rFonts w:asciiTheme="majorHAnsi" w:hAnsiTheme="majorHAnsi"/>
              </w:rPr>
              <w:t xml:space="preserve">Accreditation </w:t>
            </w:r>
            <w:r w:rsidR="008C455D">
              <w:rPr>
                <w:rFonts w:asciiTheme="majorHAnsi" w:hAnsiTheme="majorHAnsi"/>
              </w:rPr>
              <w:t xml:space="preserve">and </w:t>
            </w:r>
            <w:r w:rsidR="00F46013" w:rsidRPr="00F46013">
              <w:rPr>
                <w:rFonts w:asciiTheme="majorHAnsi" w:hAnsiTheme="majorHAnsi"/>
              </w:rPr>
              <w:t>Patient-Centered Medical Home Initiative</w:t>
            </w:r>
            <w:bookmarkEnd w:id="12"/>
          </w:p>
        </w:tc>
        <w:tc>
          <w:tcPr>
            <w:tcW w:w="7110" w:type="dxa"/>
            <w:vAlign w:val="center"/>
          </w:tcPr>
          <w:p w:rsidR="00F46013" w:rsidRDefault="00E2162D" w:rsidP="002D0F24">
            <w:pPr>
              <w:rPr>
                <w:rFonts w:asciiTheme="majorHAnsi" w:hAnsiTheme="majorHAnsi"/>
              </w:rPr>
            </w:pPr>
            <w:r>
              <w:rPr>
                <w:rFonts w:asciiTheme="majorHAnsi" w:hAnsiTheme="majorHAnsi"/>
              </w:rPr>
              <w:t xml:space="preserve">Outlines the </w:t>
            </w:r>
            <w:r w:rsidR="002D0F24">
              <w:rPr>
                <w:rFonts w:asciiTheme="majorHAnsi" w:hAnsiTheme="majorHAnsi"/>
              </w:rPr>
              <w:t xml:space="preserve">ongoing HRSA </w:t>
            </w:r>
            <w:r>
              <w:rPr>
                <w:rFonts w:asciiTheme="majorHAnsi" w:hAnsiTheme="majorHAnsi"/>
              </w:rPr>
              <w:t xml:space="preserve">support available </w:t>
            </w:r>
            <w:r w:rsidR="002D0F24">
              <w:rPr>
                <w:rFonts w:asciiTheme="majorHAnsi" w:hAnsiTheme="majorHAnsi"/>
              </w:rPr>
              <w:t>for</w:t>
            </w:r>
            <w:r>
              <w:rPr>
                <w:rFonts w:asciiTheme="majorHAnsi" w:hAnsiTheme="majorHAnsi"/>
              </w:rPr>
              <w:t xml:space="preserve"> </w:t>
            </w:r>
            <w:r w:rsidR="00F46013" w:rsidRPr="00F46013">
              <w:rPr>
                <w:rFonts w:asciiTheme="majorHAnsi" w:hAnsiTheme="majorHAnsi"/>
              </w:rPr>
              <w:t>health center</w:t>
            </w:r>
            <w:r w:rsidR="002D0F24">
              <w:rPr>
                <w:rFonts w:asciiTheme="majorHAnsi" w:hAnsiTheme="majorHAnsi"/>
              </w:rPr>
              <w:t xml:space="preserve">s </w:t>
            </w:r>
            <w:r w:rsidR="00F46013" w:rsidRPr="00F46013">
              <w:rPr>
                <w:rFonts w:asciiTheme="majorHAnsi" w:hAnsiTheme="majorHAnsi"/>
              </w:rPr>
              <w:t xml:space="preserve">to achieve </w:t>
            </w:r>
            <w:r w:rsidR="00F46013">
              <w:rPr>
                <w:rFonts w:asciiTheme="majorHAnsi" w:hAnsiTheme="majorHAnsi"/>
              </w:rPr>
              <w:t>accreditation and recognition</w:t>
            </w:r>
            <w:r w:rsidR="002D0F24">
              <w:rPr>
                <w:rFonts w:asciiTheme="majorHAnsi" w:hAnsiTheme="majorHAnsi"/>
              </w:rPr>
              <w:t xml:space="preserve"> (e.g., application fees, survey costs)</w:t>
            </w:r>
            <w:r w:rsidR="009F41DA">
              <w:rPr>
                <w:rFonts w:asciiTheme="majorHAnsi" w:hAnsiTheme="majorHAnsi"/>
              </w:rPr>
              <w:t>:</w:t>
            </w:r>
          </w:p>
          <w:p w:rsidR="00F46013" w:rsidRDefault="00147B64" w:rsidP="002D0F24">
            <w:pPr>
              <w:rPr>
                <w:rFonts w:asciiTheme="majorHAnsi" w:hAnsiTheme="majorHAnsi"/>
              </w:rPr>
            </w:pPr>
            <w:hyperlink r:id="rId13" w:tooltip="HRSA Accreditation and Patient-Centered Medical Home Initiative" w:history="1">
              <w:r w:rsidR="00F46013" w:rsidRPr="00BE2DBE">
                <w:rPr>
                  <w:rStyle w:val="Hyperlink"/>
                  <w:rFonts w:asciiTheme="majorHAnsi" w:hAnsiTheme="majorHAnsi"/>
                </w:rPr>
                <w:t>http://bphc.hrsa.gov/qualityimprovement/clinicalquality/accreditation-pcmh/index.html</w:t>
              </w:r>
            </w:hyperlink>
          </w:p>
        </w:tc>
      </w:tr>
      <w:tr w:rsidR="00F46013" w:rsidTr="00D23415">
        <w:tc>
          <w:tcPr>
            <w:tcW w:w="2430" w:type="dxa"/>
            <w:vAlign w:val="center"/>
          </w:tcPr>
          <w:p w:rsidR="00F46013" w:rsidRDefault="00C76B23" w:rsidP="002D0F24">
            <w:pPr>
              <w:rPr>
                <w:rFonts w:asciiTheme="majorHAnsi" w:hAnsiTheme="majorHAnsi"/>
              </w:rPr>
            </w:pPr>
            <w:r w:rsidRPr="005B4C0B">
              <w:rPr>
                <w:rFonts w:asciiTheme="majorHAnsi" w:hAnsiTheme="majorHAnsi" w:cstheme="majorHAnsi"/>
              </w:rPr>
              <w:t xml:space="preserve">Accreditation and </w:t>
            </w:r>
            <w:r>
              <w:rPr>
                <w:rFonts w:asciiTheme="majorHAnsi" w:hAnsiTheme="majorHAnsi" w:cstheme="majorHAnsi"/>
              </w:rPr>
              <w:t>PCMH</w:t>
            </w:r>
            <w:r w:rsidRPr="005B4C0B">
              <w:rPr>
                <w:rFonts w:asciiTheme="majorHAnsi" w:hAnsiTheme="majorHAnsi" w:cstheme="majorHAnsi"/>
              </w:rPr>
              <w:t xml:space="preserve"> Initiative P</w:t>
            </w:r>
            <w:r>
              <w:rPr>
                <w:rFonts w:asciiTheme="majorHAnsi" w:hAnsiTheme="majorHAnsi" w:cstheme="majorHAnsi"/>
              </w:rPr>
              <w:t>rogram</w:t>
            </w:r>
            <w:r w:rsidRPr="005B4C0B">
              <w:rPr>
                <w:rFonts w:asciiTheme="majorHAnsi" w:hAnsiTheme="majorHAnsi" w:cstheme="majorHAnsi"/>
              </w:rPr>
              <w:t xml:space="preserve"> Assistance Letter 2015-02</w:t>
            </w:r>
          </w:p>
        </w:tc>
        <w:tc>
          <w:tcPr>
            <w:tcW w:w="7110" w:type="dxa"/>
            <w:vAlign w:val="center"/>
          </w:tcPr>
          <w:p w:rsidR="00F46013" w:rsidRDefault="009F41DA" w:rsidP="002D0F24">
            <w:pPr>
              <w:rPr>
                <w:rFonts w:asciiTheme="majorHAnsi" w:hAnsiTheme="majorHAnsi"/>
              </w:rPr>
            </w:pPr>
            <w:r>
              <w:rPr>
                <w:rFonts w:asciiTheme="majorHAnsi" w:hAnsiTheme="majorHAnsi" w:cstheme="majorHAnsi"/>
              </w:rPr>
              <w:t>D</w:t>
            </w:r>
            <w:r w:rsidRPr="009F41DA">
              <w:rPr>
                <w:rFonts w:asciiTheme="majorHAnsi" w:hAnsiTheme="majorHAnsi" w:cstheme="majorHAnsi"/>
              </w:rPr>
              <w:t xml:space="preserve">escribes the </w:t>
            </w:r>
            <w:r w:rsidR="002D0F24">
              <w:rPr>
                <w:rFonts w:asciiTheme="majorHAnsi" w:hAnsiTheme="majorHAnsi" w:cstheme="majorHAnsi"/>
              </w:rPr>
              <w:t xml:space="preserve">HRSA </w:t>
            </w:r>
            <w:r w:rsidRPr="009F41DA">
              <w:rPr>
                <w:rFonts w:asciiTheme="majorHAnsi" w:hAnsiTheme="majorHAnsi" w:cstheme="majorHAnsi"/>
              </w:rPr>
              <w:t xml:space="preserve">Accreditation and </w:t>
            </w:r>
            <w:r>
              <w:rPr>
                <w:rFonts w:asciiTheme="majorHAnsi" w:hAnsiTheme="majorHAnsi" w:cstheme="majorHAnsi"/>
              </w:rPr>
              <w:t>PCMH</w:t>
            </w:r>
            <w:r w:rsidRPr="009F41DA">
              <w:rPr>
                <w:rFonts w:asciiTheme="majorHAnsi" w:hAnsiTheme="majorHAnsi" w:cstheme="majorHAnsi"/>
              </w:rPr>
              <w:t xml:space="preserve"> Recognition Initiative, and outlines the process and requirements for applying</w:t>
            </w:r>
            <w:r>
              <w:rPr>
                <w:rFonts w:asciiTheme="majorHAnsi" w:hAnsiTheme="majorHAnsi" w:cstheme="majorHAnsi"/>
              </w:rPr>
              <w:t>:</w:t>
            </w:r>
            <w:r w:rsidRPr="009F41DA">
              <w:rPr>
                <w:rFonts w:asciiTheme="majorHAnsi" w:hAnsiTheme="majorHAnsi" w:cstheme="majorHAnsi"/>
              </w:rPr>
              <w:t xml:space="preserve"> </w:t>
            </w:r>
            <w:hyperlink r:id="rId14" w:tooltip="HRSA Accreditation and PCMH Initiative Program Assistance Letter 2015-02" w:history="1">
              <w:r w:rsidR="00F46013" w:rsidRPr="00336C49">
                <w:rPr>
                  <w:rStyle w:val="Hyperlink"/>
                  <w:rFonts w:asciiTheme="majorHAnsi" w:hAnsiTheme="majorHAnsi" w:cstheme="majorHAnsi"/>
                </w:rPr>
                <w:t>http://bphc.hrsa.gov/qualityimprovement/pdf/pal201502.pdf</w:t>
              </w:r>
            </w:hyperlink>
          </w:p>
        </w:tc>
      </w:tr>
      <w:tr w:rsidR="00537A93" w:rsidTr="00D23415">
        <w:tc>
          <w:tcPr>
            <w:tcW w:w="2430" w:type="dxa"/>
            <w:vAlign w:val="center"/>
          </w:tcPr>
          <w:p w:rsidR="00537A93" w:rsidRDefault="00537A93" w:rsidP="002D0F24">
            <w:pPr>
              <w:rPr>
                <w:rFonts w:asciiTheme="majorHAnsi" w:hAnsiTheme="majorHAnsi" w:cstheme="majorHAnsi"/>
              </w:rPr>
            </w:pPr>
            <w:r>
              <w:rPr>
                <w:rFonts w:asciiTheme="majorHAnsi" w:hAnsiTheme="majorHAnsi" w:cstheme="majorHAnsi"/>
              </w:rPr>
              <w:t xml:space="preserve">HRSA’s </w:t>
            </w:r>
            <w:r w:rsidRPr="00BE2DBE">
              <w:rPr>
                <w:rFonts w:asciiTheme="majorHAnsi" w:hAnsiTheme="majorHAnsi" w:cstheme="majorHAnsi"/>
              </w:rPr>
              <w:t xml:space="preserve">Accreditation and PCMH Recognition Initiative </w:t>
            </w:r>
            <w:r>
              <w:rPr>
                <w:rFonts w:asciiTheme="majorHAnsi" w:hAnsiTheme="majorHAnsi" w:cstheme="majorHAnsi"/>
              </w:rPr>
              <w:t xml:space="preserve">NOI Submission </w:t>
            </w:r>
            <w:r w:rsidR="009F41DA">
              <w:rPr>
                <w:rFonts w:asciiTheme="majorHAnsi" w:hAnsiTheme="majorHAnsi" w:cstheme="majorHAnsi"/>
              </w:rPr>
              <w:t>Website</w:t>
            </w:r>
          </w:p>
        </w:tc>
        <w:tc>
          <w:tcPr>
            <w:tcW w:w="7110" w:type="dxa"/>
            <w:vAlign w:val="center"/>
          </w:tcPr>
          <w:p w:rsidR="00537A93" w:rsidRPr="005B4C0B" w:rsidRDefault="009F41DA" w:rsidP="002D0F24">
            <w:pPr>
              <w:rPr>
                <w:rFonts w:asciiTheme="majorHAnsi" w:hAnsiTheme="majorHAnsi" w:cstheme="majorHAnsi"/>
              </w:rPr>
            </w:pPr>
            <w:r>
              <w:rPr>
                <w:rFonts w:asciiTheme="majorHAnsi" w:hAnsiTheme="majorHAnsi" w:cstheme="majorHAnsi"/>
              </w:rPr>
              <w:t xml:space="preserve">Website used by health centers to submit a Notice of Interest/Intent (NOI) to the HRSA </w:t>
            </w:r>
            <w:r w:rsidR="00537A93" w:rsidRPr="00537A93">
              <w:rPr>
                <w:rFonts w:asciiTheme="majorHAnsi" w:hAnsiTheme="majorHAnsi" w:cstheme="majorHAnsi"/>
              </w:rPr>
              <w:t xml:space="preserve">Accreditation and PCMH Recognition Initiative: </w:t>
            </w:r>
            <w:hyperlink r:id="rId15" w:tooltip="HRSA’s Accreditation and PCMH Recognition Initiative NOI Submission Website" w:history="1">
              <w:r w:rsidR="00537A93" w:rsidRPr="00537A93">
                <w:rPr>
                  <w:rStyle w:val="Hyperlink"/>
                  <w:rFonts w:asciiTheme="majorHAnsi" w:hAnsiTheme="majorHAnsi" w:cstheme="majorHAnsi"/>
                </w:rPr>
                <w:t>https://hcp.hrsa.gov/pcmhnoi/NOI.aspx</w:t>
              </w:r>
            </w:hyperlink>
            <w:r w:rsidR="00537A93" w:rsidRPr="00537A93">
              <w:rPr>
                <w:rFonts w:asciiTheme="majorHAnsi" w:hAnsiTheme="majorHAnsi" w:cstheme="majorHAnsi"/>
              </w:rPr>
              <w:t xml:space="preserve"> </w:t>
            </w:r>
          </w:p>
        </w:tc>
      </w:tr>
      <w:tr w:rsidR="00537A93" w:rsidTr="00D23415">
        <w:tc>
          <w:tcPr>
            <w:tcW w:w="2430" w:type="dxa"/>
            <w:tcBorders>
              <w:bottom w:val="single" w:sz="4" w:space="0" w:color="auto"/>
            </w:tcBorders>
            <w:vAlign w:val="center"/>
          </w:tcPr>
          <w:p w:rsidR="00537A93" w:rsidRDefault="00537A93" w:rsidP="002D0F24">
            <w:pPr>
              <w:rPr>
                <w:rFonts w:asciiTheme="majorHAnsi" w:hAnsiTheme="majorHAnsi" w:cstheme="majorHAnsi"/>
              </w:rPr>
            </w:pPr>
            <w:r>
              <w:rPr>
                <w:rFonts w:asciiTheme="majorHAnsi" w:hAnsiTheme="majorHAnsi" w:cstheme="majorHAnsi"/>
              </w:rPr>
              <w:t xml:space="preserve">HRSA’s PCMH </w:t>
            </w:r>
            <w:r w:rsidRPr="00537A93">
              <w:rPr>
                <w:rFonts w:asciiTheme="majorHAnsi" w:hAnsiTheme="majorHAnsi" w:cstheme="majorHAnsi"/>
              </w:rPr>
              <w:t>Recognition Resources Comparison Chart</w:t>
            </w:r>
          </w:p>
        </w:tc>
        <w:tc>
          <w:tcPr>
            <w:tcW w:w="7110" w:type="dxa"/>
            <w:tcBorders>
              <w:bottom w:val="single" w:sz="4" w:space="0" w:color="auto"/>
            </w:tcBorders>
            <w:vAlign w:val="center"/>
          </w:tcPr>
          <w:p w:rsidR="00537A93" w:rsidRPr="00537A93" w:rsidRDefault="009F41DA" w:rsidP="002D0F24">
            <w:pPr>
              <w:rPr>
                <w:rFonts w:asciiTheme="majorHAnsi" w:hAnsiTheme="majorHAnsi" w:cstheme="majorHAnsi"/>
              </w:rPr>
            </w:pPr>
            <w:r>
              <w:rPr>
                <w:rFonts w:asciiTheme="majorHAnsi" w:hAnsiTheme="majorHAnsi" w:cstheme="majorHAnsi"/>
                <w:lang w:val="en"/>
              </w:rPr>
              <w:t>P</w:t>
            </w:r>
            <w:r w:rsidRPr="009F41DA">
              <w:rPr>
                <w:rFonts w:asciiTheme="majorHAnsi" w:hAnsiTheme="majorHAnsi" w:cstheme="majorHAnsi"/>
                <w:lang w:val="en"/>
              </w:rPr>
              <w:t xml:space="preserve">rovides a comparison between </w:t>
            </w:r>
            <w:r w:rsidR="00C42A60">
              <w:rPr>
                <w:rFonts w:asciiTheme="majorHAnsi" w:hAnsiTheme="majorHAnsi" w:cstheme="majorHAnsi"/>
                <w:lang w:val="en"/>
              </w:rPr>
              <w:t>PCMH a</w:t>
            </w:r>
            <w:r w:rsidRPr="009F41DA">
              <w:rPr>
                <w:rFonts w:asciiTheme="majorHAnsi" w:hAnsiTheme="majorHAnsi" w:cstheme="majorHAnsi"/>
                <w:lang w:val="en"/>
              </w:rPr>
              <w:t xml:space="preserve">ccreditation and </w:t>
            </w:r>
            <w:r w:rsidR="00C42A60">
              <w:rPr>
                <w:rFonts w:asciiTheme="majorHAnsi" w:hAnsiTheme="majorHAnsi" w:cstheme="majorHAnsi"/>
                <w:lang w:val="en"/>
              </w:rPr>
              <w:t>recognition</w:t>
            </w:r>
            <w:r w:rsidR="00B44DE0">
              <w:rPr>
                <w:rFonts w:asciiTheme="majorHAnsi" w:hAnsiTheme="majorHAnsi" w:cstheme="majorHAnsi"/>
                <w:lang w:val="en"/>
              </w:rPr>
              <w:t xml:space="preserve"> programs</w:t>
            </w:r>
            <w:r w:rsidR="00537A93" w:rsidRPr="00537A93">
              <w:rPr>
                <w:rFonts w:asciiTheme="majorHAnsi" w:hAnsiTheme="majorHAnsi" w:cstheme="majorHAnsi"/>
              </w:rPr>
              <w:t xml:space="preserve">: </w:t>
            </w:r>
            <w:hyperlink r:id="rId16" w:tooltip="HRSA’s PCMH Recognition Resources Comparison Chart" w:history="1">
              <w:r w:rsidR="00537A93" w:rsidRPr="00537A93">
                <w:rPr>
                  <w:rStyle w:val="Hyperlink"/>
                  <w:rFonts w:asciiTheme="majorHAnsi" w:hAnsiTheme="majorHAnsi" w:cstheme="majorHAnsi"/>
                </w:rPr>
                <w:t>http://bphc.hrsa.gov/qualityimprovement/clinicalquality/accreditation-pcmh/pcmhrecognition.pdf</w:t>
              </w:r>
            </w:hyperlink>
            <w:r w:rsidR="00537A93" w:rsidRPr="00537A93">
              <w:rPr>
                <w:rFonts w:asciiTheme="majorHAnsi" w:hAnsiTheme="majorHAnsi" w:cstheme="majorHAnsi"/>
              </w:rPr>
              <w:t xml:space="preserve">   </w:t>
            </w:r>
          </w:p>
        </w:tc>
      </w:tr>
      <w:tr w:rsidR="00F46013" w:rsidTr="00D23415">
        <w:tc>
          <w:tcPr>
            <w:tcW w:w="2430" w:type="dxa"/>
            <w:vAlign w:val="center"/>
          </w:tcPr>
          <w:p w:rsidR="00F46013" w:rsidRDefault="00537A93" w:rsidP="002D0F24">
            <w:pPr>
              <w:rPr>
                <w:rFonts w:asciiTheme="majorHAnsi" w:hAnsiTheme="majorHAnsi"/>
              </w:rPr>
            </w:pPr>
            <w:r w:rsidRPr="00537A93">
              <w:rPr>
                <w:rFonts w:asciiTheme="majorHAnsi" w:hAnsiTheme="majorHAnsi"/>
              </w:rPr>
              <w:t>Primary Care Devel</w:t>
            </w:r>
            <w:r w:rsidR="009F41DA">
              <w:rPr>
                <w:rFonts w:asciiTheme="majorHAnsi" w:hAnsiTheme="majorHAnsi"/>
              </w:rPr>
              <w:t>opment Corporation’s PCMH 2014 Readiness Assessment T</w:t>
            </w:r>
            <w:r w:rsidRPr="00537A93">
              <w:rPr>
                <w:rFonts w:asciiTheme="majorHAnsi" w:hAnsiTheme="majorHAnsi"/>
              </w:rPr>
              <w:t>ool</w:t>
            </w:r>
          </w:p>
        </w:tc>
        <w:tc>
          <w:tcPr>
            <w:tcW w:w="7110" w:type="dxa"/>
            <w:vAlign w:val="center"/>
          </w:tcPr>
          <w:p w:rsidR="00F46013" w:rsidRPr="009121FA" w:rsidRDefault="009F41DA" w:rsidP="002D0F24">
            <w:pPr>
              <w:rPr>
                <w:rFonts w:asciiTheme="majorHAnsi" w:hAnsiTheme="majorHAnsi" w:cstheme="majorHAnsi"/>
              </w:rPr>
            </w:pPr>
            <w:r>
              <w:rPr>
                <w:rFonts w:asciiTheme="majorHAnsi" w:hAnsiTheme="majorHAnsi" w:cstheme="majorHAnsi"/>
              </w:rPr>
              <w:t>R</w:t>
            </w:r>
            <w:r w:rsidRPr="009F41DA">
              <w:rPr>
                <w:rFonts w:asciiTheme="majorHAnsi" w:hAnsiTheme="majorHAnsi" w:cstheme="majorHAnsi"/>
              </w:rPr>
              <w:t xml:space="preserve">eadiness assessment tool to help </w:t>
            </w:r>
            <w:r>
              <w:rPr>
                <w:rFonts w:asciiTheme="majorHAnsi" w:hAnsiTheme="majorHAnsi" w:cstheme="majorHAnsi"/>
              </w:rPr>
              <w:t>health centers</w:t>
            </w:r>
            <w:r w:rsidRPr="009F41DA">
              <w:rPr>
                <w:rFonts w:asciiTheme="majorHAnsi" w:hAnsiTheme="majorHAnsi" w:cstheme="majorHAnsi"/>
              </w:rPr>
              <w:t xml:space="preserve"> make informed decisions about moving forward with PCMH recognition</w:t>
            </w:r>
            <w:r w:rsidR="00537A93" w:rsidRPr="00537A93">
              <w:rPr>
                <w:rFonts w:asciiTheme="majorHAnsi" w:hAnsiTheme="majorHAnsi" w:cstheme="majorHAnsi"/>
              </w:rPr>
              <w:t xml:space="preserve">: </w:t>
            </w:r>
            <w:hyperlink r:id="rId17" w:tooltip="Primary Care Development Corporation’s PCMH 2014 Readiness Assessment Tool" w:history="1">
              <w:r w:rsidR="00537A93" w:rsidRPr="00537A93">
                <w:rPr>
                  <w:rStyle w:val="Hyperlink"/>
                  <w:rFonts w:asciiTheme="majorHAnsi" w:hAnsiTheme="majorHAnsi" w:cstheme="majorHAnsi"/>
                </w:rPr>
                <w:t>http://www.pcdc.org/performance-improvement/special-content/2014-pcmh-self-assessment-tool.html</w:t>
              </w:r>
            </w:hyperlink>
            <w:r w:rsidR="00537A93" w:rsidRPr="00537A93">
              <w:rPr>
                <w:rFonts w:asciiTheme="majorHAnsi" w:hAnsiTheme="majorHAnsi" w:cstheme="majorHAnsi"/>
              </w:rPr>
              <w:t xml:space="preserve"> </w:t>
            </w:r>
          </w:p>
        </w:tc>
      </w:tr>
      <w:tr w:rsidR="00EE0D9D" w:rsidTr="00D23415">
        <w:tc>
          <w:tcPr>
            <w:tcW w:w="2430" w:type="dxa"/>
            <w:vAlign w:val="center"/>
          </w:tcPr>
          <w:p w:rsidR="00EE0D9D" w:rsidRPr="00537A93" w:rsidRDefault="00EE0D9D" w:rsidP="002D0F24">
            <w:pPr>
              <w:rPr>
                <w:rFonts w:asciiTheme="majorHAnsi" w:hAnsiTheme="majorHAnsi"/>
              </w:rPr>
            </w:pPr>
            <w:r w:rsidRPr="00C01589">
              <w:rPr>
                <w:rFonts w:asciiTheme="majorHAnsi" w:hAnsiTheme="majorHAnsi"/>
                <w:lang w:val="en"/>
              </w:rPr>
              <w:t>National Committee on Quality Assurance (NCQA)</w:t>
            </w:r>
          </w:p>
        </w:tc>
        <w:tc>
          <w:tcPr>
            <w:tcW w:w="7110" w:type="dxa"/>
            <w:vAlign w:val="center"/>
          </w:tcPr>
          <w:p w:rsidR="00EE0D9D" w:rsidRDefault="00EE0D9D" w:rsidP="006D0FD9">
            <w:pPr>
              <w:keepNext/>
              <w:rPr>
                <w:rFonts w:asciiTheme="majorHAnsi" w:hAnsiTheme="majorHAnsi"/>
                <w:lang w:val="en"/>
              </w:rPr>
            </w:pPr>
            <w:r>
              <w:rPr>
                <w:rFonts w:asciiTheme="majorHAnsi" w:hAnsiTheme="majorHAnsi"/>
                <w:lang w:val="en"/>
              </w:rPr>
              <w:t>Provides additional information about NCQA recognition:</w:t>
            </w:r>
          </w:p>
          <w:p w:rsidR="00EE0D9D" w:rsidRDefault="00147B64" w:rsidP="002D0F24">
            <w:pPr>
              <w:rPr>
                <w:rFonts w:asciiTheme="majorHAnsi" w:hAnsiTheme="majorHAnsi" w:cstheme="majorHAnsi"/>
              </w:rPr>
            </w:pPr>
            <w:hyperlink r:id="rId18" w:tooltip="National Committee on Quality Assurance (NCQA)" w:history="1">
              <w:r w:rsidR="00EE0D9D" w:rsidRPr="006F0A0D">
                <w:rPr>
                  <w:rStyle w:val="Hyperlink"/>
                  <w:rFonts w:asciiTheme="majorHAnsi" w:hAnsiTheme="majorHAnsi" w:cstheme="minorBidi"/>
                  <w:lang w:val="en"/>
                </w:rPr>
                <w:t>http://www.ncqa.org/Programs/Recognition/Practices/PatientCenteredMedicalHomePCMH.aspx</w:t>
              </w:r>
            </w:hyperlink>
            <w:r w:rsidR="00EE0D9D">
              <w:rPr>
                <w:rFonts w:asciiTheme="majorHAnsi" w:hAnsiTheme="majorHAnsi"/>
                <w:u w:val="single"/>
                <w:lang w:val="en"/>
              </w:rPr>
              <w:t xml:space="preserve"> </w:t>
            </w:r>
          </w:p>
        </w:tc>
      </w:tr>
      <w:tr w:rsidR="00EE0D9D" w:rsidTr="00D23415">
        <w:tc>
          <w:tcPr>
            <w:tcW w:w="2430" w:type="dxa"/>
            <w:vAlign w:val="center"/>
          </w:tcPr>
          <w:p w:rsidR="00EE0D9D" w:rsidRPr="00C55894" w:rsidRDefault="00EE0D9D" w:rsidP="002D0F24">
            <w:pPr>
              <w:rPr>
                <w:rFonts w:asciiTheme="majorHAnsi" w:hAnsiTheme="majorHAnsi"/>
                <w:lang w:val="en"/>
              </w:rPr>
            </w:pPr>
            <w:r w:rsidRPr="00C01589">
              <w:rPr>
                <w:rFonts w:asciiTheme="majorHAnsi" w:hAnsiTheme="majorHAnsi"/>
                <w:lang w:val="en"/>
              </w:rPr>
              <w:t>Accreditation Association for Ambulatory Health Care (AAAHC)</w:t>
            </w:r>
          </w:p>
        </w:tc>
        <w:tc>
          <w:tcPr>
            <w:tcW w:w="7110" w:type="dxa"/>
            <w:vAlign w:val="center"/>
          </w:tcPr>
          <w:p w:rsidR="00EE0D9D" w:rsidRDefault="00EE0D9D" w:rsidP="002D0F24">
            <w:pPr>
              <w:rPr>
                <w:rFonts w:asciiTheme="majorHAnsi" w:hAnsiTheme="majorHAnsi"/>
                <w:lang w:val="en"/>
              </w:rPr>
            </w:pPr>
            <w:r>
              <w:rPr>
                <w:rFonts w:asciiTheme="majorHAnsi" w:hAnsiTheme="majorHAnsi"/>
                <w:lang w:val="en"/>
              </w:rPr>
              <w:t xml:space="preserve">Provides additional information about </w:t>
            </w:r>
            <w:r w:rsidRPr="00C01589">
              <w:rPr>
                <w:rFonts w:asciiTheme="majorHAnsi" w:hAnsiTheme="majorHAnsi"/>
                <w:lang w:val="en"/>
              </w:rPr>
              <w:t>AAAHC</w:t>
            </w:r>
            <w:r>
              <w:rPr>
                <w:rFonts w:asciiTheme="majorHAnsi" w:hAnsiTheme="majorHAnsi"/>
                <w:lang w:val="en"/>
              </w:rPr>
              <w:t xml:space="preserve"> accreditation:</w:t>
            </w:r>
          </w:p>
          <w:p w:rsidR="00EE0D9D" w:rsidRPr="00EF20FD" w:rsidRDefault="00147B64" w:rsidP="002D0F24">
            <w:pPr>
              <w:rPr>
                <w:rFonts w:asciiTheme="majorHAnsi" w:hAnsiTheme="majorHAnsi"/>
                <w:u w:val="single"/>
                <w:lang w:val="en"/>
              </w:rPr>
            </w:pPr>
            <w:hyperlink r:id="rId19" w:tooltip="Accreditation Association for Ambulatory Health Care (AAAHC)" w:history="1">
              <w:r w:rsidR="00EE0D9D" w:rsidRPr="006F0A0D">
                <w:rPr>
                  <w:rStyle w:val="Hyperlink"/>
                  <w:rFonts w:asciiTheme="majorHAnsi" w:hAnsiTheme="majorHAnsi" w:cstheme="minorBidi"/>
                  <w:lang w:val="en"/>
                </w:rPr>
                <w:t>http://www.aaahc.org/en/accreditation/FQCHCs/</w:t>
              </w:r>
            </w:hyperlink>
            <w:r w:rsidR="00EE0D9D">
              <w:rPr>
                <w:rFonts w:asciiTheme="majorHAnsi" w:hAnsiTheme="majorHAnsi"/>
                <w:u w:val="single"/>
                <w:lang w:val="en"/>
              </w:rPr>
              <w:t xml:space="preserve"> </w:t>
            </w:r>
          </w:p>
        </w:tc>
      </w:tr>
      <w:tr w:rsidR="00EE0D9D" w:rsidTr="00D23415">
        <w:tc>
          <w:tcPr>
            <w:tcW w:w="2430" w:type="dxa"/>
            <w:vAlign w:val="center"/>
          </w:tcPr>
          <w:p w:rsidR="00EE0D9D" w:rsidRPr="00C55894" w:rsidRDefault="00EE0D9D" w:rsidP="002D0F24">
            <w:pPr>
              <w:rPr>
                <w:rFonts w:asciiTheme="majorHAnsi" w:hAnsiTheme="majorHAnsi"/>
                <w:lang w:val="en"/>
              </w:rPr>
            </w:pPr>
            <w:r w:rsidRPr="00C01589">
              <w:rPr>
                <w:rFonts w:asciiTheme="majorHAnsi" w:hAnsiTheme="majorHAnsi"/>
                <w:lang w:val="en"/>
              </w:rPr>
              <w:t>The Joint Commission (TJC)</w:t>
            </w:r>
          </w:p>
        </w:tc>
        <w:tc>
          <w:tcPr>
            <w:tcW w:w="7110" w:type="dxa"/>
            <w:vAlign w:val="center"/>
          </w:tcPr>
          <w:p w:rsidR="00EE0D9D" w:rsidRDefault="00EE0D9D" w:rsidP="002D0F24">
            <w:pPr>
              <w:rPr>
                <w:rFonts w:asciiTheme="majorHAnsi" w:hAnsiTheme="majorHAnsi"/>
                <w:lang w:val="en"/>
              </w:rPr>
            </w:pPr>
            <w:r>
              <w:rPr>
                <w:rFonts w:asciiTheme="majorHAnsi" w:hAnsiTheme="majorHAnsi"/>
                <w:lang w:val="en"/>
              </w:rPr>
              <w:t>Provides additional information about TJC accreditation:</w:t>
            </w:r>
          </w:p>
          <w:p w:rsidR="00EE0D9D" w:rsidRPr="00EF20FD" w:rsidRDefault="00147B64" w:rsidP="002D0F24">
            <w:pPr>
              <w:rPr>
                <w:rFonts w:asciiTheme="majorHAnsi" w:hAnsiTheme="majorHAnsi"/>
                <w:u w:val="single"/>
                <w:lang w:val="en"/>
              </w:rPr>
            </w:pPr>
            <w:hyperlink r:id="rId20" w:tooltip="The Joint Commission (TJC)" w:history="1">
              <w:r w:rsidR="00EE0D9D" w:rsidRPr="006F0A0D">
                <w:rPr>
                  <w:rStyle w:val="Hyperlink"/>
                  <w:rFonts w:asciiTheme="majorHAnsi" w:hAnsiTheme="majorHAnsi" w:cstheme="minorBidi"/>
                  <w:lang w:val="en"/>
                </w:rPr>
                <w:t>http://www.jointcommission.org/accreditation/pchi.aspx</w:t>
              </w:r>
            </w:hyperlink>
            <w:r w:rsidR="00EE0D9D">
              <w:rPr>
                <w:rFonts w:asciiTheme="majorHAnsi" w:hAnsiTheme="majorHAnsi"/>
                <w:u w:val="single"/>
                <w:lang w:val="en"/>
              </w:rPr>
              <w:t xml:space="preserve"> </w:t>
            </w:r>
          </w:p>
        </w:tc>
      </w:tr>
      <w:tr w:rsidR="00EE0D9D" w:rsidTr="00D23415">
        <w:tc>
          <w:tcPr>
            <w:tcW w:w="2430" w:type="dxa"/>
            <w:vAlign w:val="center"/>
          </w:tcPr>
          <w:p w:rsidR="00EE0D9D" w:rsidRPr="00C55894" w:rsidRDefault="00EE0D9D" w:rsidP="002D0F24">
            <w:pPr>
              <w:rPr>
                <w:rFonts w:asciiTheme="majorHAnsi" w:hAnsiTheme="majorHAnsi"/>
                <w:lang w:val="en"/>
              </w:rPr>
            </w:pPr>
            <w:r>
              <w:rPr>
                <w:rFonts w:asciiTheme="majorHAnsi" w:hAnsiTheme="majorHAnsi"/>
                <w:lang w:val="en"/>
              </w:rPr>
              <w:t>Minnesota Health Care Home</w:t>
            </w:r>
          </w:p>
        </w:tc>
        <w:tc>
          <w:tcPr>
            <w:tcW w:w="7110" w:type="dxa"/>
            <w:vAlign w:val="center"/>
          </w:tcPr>
          <w:p w:rsidR="00EE0D9D" w:rsidRDefault="00EE0D9D" w:rsidP="002D0F24">
            <w:pPr>
              <w:rPr>
                <w:rFonts w:asciiTheme="majorHAnsi" w:hAnsiTheme="majorHAnsi"/>
                <w:lang w:val="en"/>
              </w:rPr>
            </w:pPr>
            <w:r>
              <w:rPr>
                <w:rFonts w:asciiTheme="majorHAnsi" w:hAnsiTheme="majorHAnsi"/>
                <w:lang w:val="en"/>
              </w:rPr>
              <w:t>Provides information about the Minnesota Health Care Home recognition program (only available to health centers in Minnesota):</w:t>
            </w:r>
          </w:p>
          <w:p w:rsidR="00EE0D9D" w:rsidRPr="00EF20FD" w:rsidRDefault="00147B64" w:rsidP="002D0F24">
            <w:pPr>
              <w:rPr>
                <w:rFonts w:asciiTheme="majorHAnsi" w:hAnsiTheme="majorHAnsi"/>
              </w:rPr>
            </w:pPr>
            <w:hyperlink r:id="rId21" w:tooltip="Minnesota Health Care Home" w:history="1">
              <w:r w:rsidR="00EE0D9D" w:rsidRPr="006F0A0D">
                <w:rPr>
                  <w:rStyle w:val="Hyperlink"/>
                  <w:rFonts w:asciiTheme="majorHAnsi" w:hAnsiTheme="majorHAnsi" w:cstheme="minorBidi"/>
                </w:rPr>
                <w:t>http://www.health.state.mn.us/healthreform/homes/index.html</w:t>
              </w:r>
            </w:hyperlink>
            <w:r w:rsidR="00EE0D9D">
              <w:rPr>
                <w:rFonts w:asciiTheme="majorHAnsi" w:hAnsiTheme="majorHAnsi"/>
              </w:rPr>
              <w:t xml:space="preserve"> </w:t>
            </w:r>
          </w:p>
        </w:tc>
      </w:tr>
      <w:tr w:rsidR="00EE0D9D" w:rsidTr="00D23415">
        <w:tc>
          <w:tcPr>
            <w:tcW w:w="2430" w:type="dxa"/>
            <w:vAlign w:val="center"/>
          </w:tcPr>
          <w:p w:rsidR="00EE0D9D" w:rsidRPr="00C55894" w:rsidRDefault="00EE0D9D" w:rsidP="002D0F24">
            <w:pPr>
              <w:rPr>
                <w:rFonts w:asciiTheme="majorHAnsi" w:hAnsiTheme="majorHAnsi"/>
                <w:lang w:val="en"/>
              </w:rPr>
            </w:pPr>
            <w:r w:rsidRPr="00C01589">
              <w:rPr>
                <w:rFonts w:asciiTheme="majorHAnsi" w:hAnsiTheme="majorHAnsi"/>
                <w:lang w:val="en"/>
              </w:rPr>
              <w:t>Oregon Patient-Centered Primary Care Home Program</w:t>
            </w:r>
          </w:p>
        </w:tc>
        <w:tc>
          <w:tcPr>
            <w:tcW w:w="7110" w:type="dxa"/>
            <w:vAlign w:val="center"/>
          </w:tcPr>
          <w:p w:rsidR="00EE0D9D" w:rsidRDefault="00EE0D9D" w:rsidP="002D0F24">
            <w:pPr>
              <w:rPr>
                <w:rFonts w:asciiTheme="majorHAnsi" w:hAnsiTheme="majorHAnsi"/>
                <w:lang w:val="en"/>
              </w:rPr>
            </w:pPr>
            <w:r>
              <w:rPr>
                <w:rFonts w:asciiTheme="majorHAnsi" w:hAnsiTheme="majorHAnsi"/>
                <w:lang w:val="en"/>
              </w:rPr>
              <w:t>Provides information about</w:t>
            </w:r>
            <w:r w:rsidRPr="00C01589">
              <w:rPr>
                <w:rFonts w:asciiTheme="majorHAnsi" w:hAnsiTheme="majorHAnsi"/>
                <w:lang w:val="en"/>
              </w:rPr>
              <w:t xml:space="preserve"> </w:t>
            </w:r>
            <w:r>
              <w:rPr>
                <w:rFonts w:asciiTheme="majorHAnsi" w:hAnsiTheme="majorHAnsi"/>
                <w:lang w:val="en"/>
              </w:rPr>
              <w:t xml:space="preserve">the </w:t>
            </w:r>
            <w:r w:rsidRPr="00C01589">
              <w:rPr>
                <w:rFonts w:asciiTheme="majorHAnsi" w:hAnsiTheme="majorHAnsi"/>
                <w:lang w:val="en"/>
              </w:rPr>
              <w:t>Oregon Patient-Centered Primary Care Home Program</w:t>
            </w:r>
            <w:r>
              <w:rPr>
                <w:rFonts w:asciiTheme="majorHAnsi" w:hAnsiTheme="majorHAnsi"/>
                <w:lang w:val="en"/>
              </w:rPr>
              <w:t xml:space="preserve"> (only available to health centers in Oregon):</w:t>
            </w:r>
          </w:p>
          <w:p w:rsidR="00EE0D9D" w:rsidRDefault="00147B64" w:rsidP="002D0F24">
            <w:pPr>
              <w:rPr>
                <w:rFonts w:asciiTheme="majorHAnsi" w:hAnsiTheme="majorHAnsi"/>
              </w:rPr>
            </w:pPr>
            <w:hyperlink r:id="rId22" w:tooltip="Oregon Patient-Centered Primary Care Home Program" w:history="1">
              <w:r w:rsidR="00EE0D9D" w:rsidRPr="006F0A0D">
                <w:rPr>
                  <w:rStyle w:val="Hyperlink"/>
                  <w:rFonts w:asciiTheme="majorHAnsi" w:hAnsiTheme="majorHAnsi" w:cstheme="minorBidi"/>
                </w:rPr>
                <w:t>http://www.oregon.gov/oha/pcpch/Pages/index.aspx</w:t>
              </w:r>
            </w:hyperlink>
            <w:r w:rsidR="00EE0D9D">
              <w:rPr>
                <w:rFonts w:asciiTheme="majorHAnsi" w:hAnsiTheme="majorHAnsi"/>
              </w:rPr>
              <w:t xml:space="preserve"> </w:t>
            </w:r>
          </w:p>
        </w:tc>
      </w:tr>
    </w:tbl>
    <w:p w:rsidR="009D1AE4" w:rsidRDefault="009D1AE4" w:rsidP="00C33682">
      <w:pPr>
        <w:pStyle w:val="Heading1"/>
        <w:spacing w:before="0" w:after="60"/>
        <w:rPr>
          <w:bCs w:val="0"/>
          <w:color w:val="auto"/>
          <w:sz w:val="24"/>
          <w:szCs w:val="24"/>
        </w:rPr>
      </w:pPr>
      <w:bookmarkStart w:id="13" w:name="_Resources"/>
      <w:bookmarkEnd w:id="13"/>
    </w:p>
    <w:p w:rsidR="00C33682" w:rsidRPr="002B4866" w:rsidRDefault="00C33682" w:rsidP="00C33682">
      <w:pPr>
        <w:pStyle w:val="Heading1"/>
        <w:spacing w:before="0" w:after="60"/>
        <w:rPr>
          <w:bCs w:val="0"/>
          <w:color w:val="auto"/>
          <w:sz w:val="24"/>
          <w:szCs w:val="24"/>
        </w:rPr>
      </w:pPr>
      <w:bookmarkStart w:id="14" w:name="_Toc449951377"/>
      <w:r w:rsidRPr="002B4866">
        <w:rPr>
          <w:bCs w:val="0"/>
          <w:color w:val="auto"/>
          <w:sz w:val="24"/>
          <w:szCs w:val="24"/>
        </w:rPr>
        <w:t>Application Reviews</w:t>
      </w:r>
      <w:bookmarkEnd w:id="14"/>
    </w:p>
    <w:p w:rsidR="00C33682" w:rsidRPr="002B4866" w:rsidRDefault="00C33682" w:rsidP="00C33682">
      <w:pPr>
        <w:rPr>
          <w:rFonts w:asciiTheme="majorHAnsi" w:hAnsiTheme="majorHAnsi"/>
        </w:rPr>
      </w:pPr>
      <w:r w:rsidRPr="002B4866">
        <w:rPr>
          <w:rFonts w:asciiTheme="majorHAnsi" w:hAnsiTheme="majorHAnsi"/>
        </w:rPr>
        <w:t>HRSA will conduct internal reviews for completeness, eligibility, and allowable costs.  HRSA reserves the right to request rebudgeting and/or revis</w:t>
      </w:r>
      <w:r>
        <w:rPr>
          <w:rFonts w:asciiTheme="majorHAnsi" w:hAnsiTheme="majorHAnsi"/>
        </w:rPr>
        <w:t>ion of the Project Overview Form</w:t>
      </w:r>
      <w:r w:rsidRPr="002B4866">
        <w:rPr>
          <w:rFonts w:asciiTheme="majorHAnsi" w:hAnsiTheme="majorHAnsi"/>
        </w:rPr>
        <w:t xml:space="preserve"> if an application is not fully responsive to application requirements or if ineligible </w:t>
      </w:r>
      <w:r>
        <w:rPr>
          <w:rFonts w:asciiTheme="majorHAnsi" w:hAnsiTheme="majorHAnsi"/>
        </w:rPr>
        <w:t xml:space="preserve">activities or costs </w:t>
      </w:r>
      <w:r w:rsidRPr="002B4866">
        <w:rPr>
          <w:rFonts w:asciiTheme="majorHAnsi" w:hAnsiTheme="majorHAnsi"/>
        </w:rPr>
        <w:t xml:space="preserve">are proposed. </w:t>
      </w:r>
    </w:p>
    <w:p w:rsidR="00C33682" w:rsidRPr="002B4866" w:rsidRDefault="00C33682" w:rsidP="00C33682">
      <w:pPr>
        <w:rPr>
          <w:rFonts w:asciiTheme="majorHAnsi" w:hAnsiTheme="majorHAnsi"/>
        </w:rPr>
      </w:pPr>
    </w:p>
    <w:p w:rsidR="00C33682" w:rsidRPr="002B4866" w:rsidRDefault="00C33682" w:rsidP="00C33682">
      <w:pPr>
        <w:rPr>
          <w:rFonts w:asciiTheme="majorHAnsi" w:hAnsiTheme="majorHAnsi"/>
        </w:rPr>
      </w:pPr>
      <w:r w:rsidRPr="002B4866">
        <w:rPr>
          <w:rFonts w:asciiTheme="majorHAnsi" w:hAnsiTheme="majorHAnsi"/>
        </w:rPr>
        <w:t>Prior to award, HRSA will assess the status of all Health Center Program award recipients applying for</w:t>
      </w:r>
      <w:r w:rsidRPr="005A022D">
        <w:rPr>
          <w:rFonts w:asciiTheme="majorHAnsi" w:hAnsiTheme="majorHAnsi"/>
          <w:bCs/>
        </w:rPr>
        <w:t xml:space="preserve"> </w:t>
      </w:r>
      <w:r>
        <w:rPr>
          <w:rFonts w:asciiTheme="majorHAnsi" w:hAnsiTheme="majorHAnsi"/>
          <w:bCs/>
        </w:rPr>
        <w:t xml:space="preserve">FY 2016 </w:t>
      </w:r>
      <w:r w:rsidRPr="002B4866">
        <w:rPr>
          <w:rFonts w:asciiTheme="majorHAnsi" w:hAnsiTheme="majorHAnsi"/>
        </w:rPr>
        <w:t xml:space="preserve">PCMH supplemental funding.  Applicants are not eligible to receive funding if they have any of the following on their current grant award: </w:t>
      </w:r>
    </w:p>
    <w:p w:rsidR="00C33682" w:rsidRPr="002B4866" w:rsidRDefault="00C33682" w:rsidP="00C33682">
      <w:pPr>
        <w:numPr>
          <w:ilvl w:val="0"/>
          <w:numId w:val="13"/>
        </w:numPr>
        <w:rPr>
          <w:rFonts w:asciiTheme="majorHAnsi" w:hAnsiTheme="majorHAnsi"/>
        </w:rPr>
      </w:pPr>
      <w:r w:rsidRPr="002B4866">
        <w:rPr>
          <w:rFonts w:asciiTheme="majorHAnsi" w:hAnsiTheme="majorHAnsi"/>
        </w:rPr>
        <w:t xml:space="preserve">5 or more 60-day Health Center Program Requirement progressive action conditions </w:t>
      </w:r>
    </w:p>
    <w:p w:rsidR="00C33682" w:rsidRPr="002B4866" w:rsidRDefault="00C33682" w:rsidP="00C33682">
      <w:pPr>
        <w:numPr>
          <w:ilvl w:val="0"/>
          <w:numId w:val="13"/>
        </w:numPr>
        <w:rPr>
          <w:rFonts w:asciiTheme="majorHAnsi" w:hAnsiTheme="majorHAnsi"/>
        </w:rPr>
      </w:pPr>
      <w:r w:rsidRPr="002B4866">
        <w:rPr>
          <w:rFonts w:asciiTheme="majorHAnsi" w:hAnsiTheme="majorHAnsi"/>
        </w:rPr>
        <w:t>1 or more 30-day Health Center Program Requirement progressive action conditions</w:t>
      </w:r>
    </w:p>
    <w:p w:rsidR="00ED33FC" w:rsidRDefault="00ED33FC" w:rsidP="00C33682">
      <w:pPr>
        <w:rPr>
          <w:rFonts w:asciiTheme="majorHAnsi" w:hAnsiTheme="majorHAnsi"/>
        </w:rPr>
      </w:pPr>
    </w:p>
    <w:p w:rsidR="00C33682" w:rsidRPr="002B4866" w:rsidRDefault="00C33682" w:rsidP="00C33682">
      <w:pPr>
        <w:rPr>
          <w:rFonts w:asciiTheme="majorHAnsi" w:hAnsiTheme="majorHAnsi"/>
        </w:rPr>
      </w:pPr>
      <w:r w:rsidRPr="002B4866">
        <w:rPr>
          <w:rFonts w:asciiTheme="majorHAnsi" w:hAnsiTheme="majorHAnsi"/>
        </w:rPr>
        <w:t>Awards are subject to the provisions of Executive Order 12372, as implemented by Uniform Guidance 2 CFR 200 (as codified by HHS at 45 CFR 75</w:t>
      </w:r>
      <w:r w:rsidR="0034777F">
        <w:rPr>
          <w:rFonts w:asciiTheme="majorHAnsi" w:hAnsiTheme="majorHAnsi"/>
        </w:rPr>
        <w:t>),</w:t>
      </w:r>
      <w:r w:rsidR="00804360">
        <w:rPr>
          <w:rStyle w:val="FootnoteReference"/>
          <w:rFonts w:asciiTheme="majorHAnsi" w:hAnsiTheme="majorHAnsi"/>
        </w:rPr>
        <w:footnoteReference w:id="7"/>
      </w:r>
      <w:r w:rsidRPr="002B4866">
        <w:rPr>
          <w:rFonts w:asciiTheme="majorHAnsi" w:hAnsiTheme="majorHAnsi"/>
        </w:rPr>
        <w:t xml:space="preserve"> as well as all applicable administrative and national policy requirements, as </w:t>
      </w:r>
      <w:r w:rsidR="00EB555C">
        <w:rPr>
          <w:rFonts w:asciiTheme="majorHAnsi" w:hAnsiTheme="majorHAnsi"/>
        </w:rPr>
        <w:t>required</w:t>
      </w:r>
      <w:r w:rsidR="00EB555C" w:rsidRPr="002B4866">
        <w:rPr>
          <w:rFonts w:asciiTheme="majorHAnsi" w:hAnsiTheme="majorHAnsi"/>
        </w:rPr>
        <w:t xml:space="preserve"> </w:t>
      </w:r>
      <w:r w:rsidRPr="002B4866">
        <w:rPr>
          <w:rFonts w:asciiTheme="majorHAnsi" w:hAnsiTheme="majorHAnsi"/>
        </w:rPr>
        <w:t xml:space="preserve">by existing </w:t>
      </w:r>
      <w:r w:rsidR="00C60591">
        <w:rPr>
          <w:rFonts w:asciiTheme="majorHAnsi" w:hAnsiTheme="majorHAnsi"/>
        </w:rPr>
        <w:t>awardees’</w:t>
      </w:r>
      <w:r w:rsidRPr="002B4866">
        <w:rPr>
          <w:rFonts w:asciiTheme="majorHAnsi" w:hAnsiTheme="majorHAnsi"/>
        </w:rPr>
        <w:t xml:space="preserve"> Health Center Program operational fund awards.</w:t>
      </w:r>
    </w:p>
    <w:p w:rsidR="00C33682" w:rsidRPr="002B4866" w:rsidRDefault="00C33682" w:rsidP="00C33682">
      <w:pPr>
        <w:rPr>
          <w:rFonts w:asciiTheme="majorHAnsi" w:hAnsiTheme="majorHAnsi"/>
        </w:rPr>
      </w:pPr>
    </w:p>
    <w:p w:rsidR="00C33682" w:rsidRPr="002B4866" w:rsidRDefault="00C33682" w:rsidP="00C33682">
      <w:pPr>
        <w:rPr>
          <w:rFonts w:asciiTheme="majorHAnsi" w:hAnsiTheme="majorHAnsi"/>
        </w:rPr>
      </w:pPr>
      <w:r w:rsidRPr="002B4866">
        <w:rPr>
          <w:rFonts w:asciiTheme="majorHAnsi" w:hAnsiTheme="majorHAnsi"/>
        </w:rPr>
        <w:t>Every organization is required to maintain an active System for Award Management (SAM)</w:t>
      </w:r>
      <w:r>
        <w:rPr>
          <w:rFonts w:asciiTheme="majorHAnsi" w:hAnsiTheme="majorHAnsi"/>
        </w:rPr>
        <w:t xml:space="preserve"> (</w:t>
      </w:r>
      <w:hyperlink r:id="rId23" w:anchor="1" w:history="1">
        <w:r w:rsidRPr="00D81CE1">
          <w:rPr>
            <w:rStyle w:val="Hyperlink"/>
            <w:rFonts w:asciiTheme="majorHAnsi" w:hAnsiTheme="majorHAnsi" w:cstheme="minorBidi"/>
          </w:rPr>
          <w:t>https://www.sam.gov/portal/SAM/#1</w:t>
        </w:r>
      </w:hyperlink>
      <w:r>
        <w:rPr>
          <w:rFonts w:asciiTheme="majorHAnsi" w:hAnsiTheme="majorHAnsi"/>
        </w:rPr>
        <w:t>)</w:t>
      </w:r>
      <w:r w:rsidRPr="002B4866">
        <w:rPr>
          <w:rFonts w:asciiTheme="majorHAnsi" w:hAnsiTheme="majorHAnsi"/>
        </w:rPr>
        <w:t xml:space="preserve"> registration at all time</w:t>
      </w:r>
      <w:r>
        <w:rPr>
          <w:rFonts w:asciiTheme="majorHAnsi" w:hAnsiTheme="majorHAnsi"/>
        </w:rPr>
        <w:t>s</w:t>
      </w:r>
      <w:r w:rsidRPr="002B4866">
        <w:rPr>
          <w:rFonts w:asciiTheme="majorHAnsi" w:hAnsiTheme="majorHAnsi"/>
        </w:rPr>
        <w:t>.</w:t>
      </w:r>
    </w:p>
    <w:p w:rsidR="00C33682" w:rsidRDefault="00C33682" w:rsidP="002D0F24">
      <w:pPr>
        <w:pStyle w:val="Heading1"/>
        <w:spacing w:before="0" w:after="60"/>
        <w:rPr>
          <w:bCs w:val="0"/>
          <w:color w:val="auto"/>
          <w:sz w:val="24"/>
          <w:szCs w:val="24"/>
        </w:rPr>
      </w:pPr>
    </w:p>
    <w:p w:rsidR="004605B3" w:rsidRPr="002B4866" w:rsidRDefault="004605B3" w:rsidP="002D0F24">
      <w:pPr>
        <w:pStyle w:val="Heading1"/>
        <w:spacing w:before="0" w:after="60"/>
        <w:rPr>
          <w:bCs w:val="0"/>
          <w:color w:val="auto"/>
          <w:sz w:val="24"/>
          <w:szCs w:val="24"/>
        </w:rPr>
      </w:pPr>
      <w:bookmarkStart w:id="15" w:name="_Toc449951378"/>
      <w:r w:rsidRPr="002B4866">
        <w:rPr>
          <w:bCs w:val="0"/>
          <w:color w:val="auto"/>
          <w:sz w:val="24"/>
          <w:szCs w:val="24"/>
        </w:rPr>
        <w:t>Contact</w:t>
      </w:r>
      <w:r w:rsidR="005F7381" w:rsidRPr="002B4866">
        <w:rPr>
          <w:bCs w:val="0"/>
          <w:color w:val="auto"/>
          <w:sz w:val="24"/>
          <w:szCs w:val="24"/>
        </w:rPr>
        <w:t>s</w:t>
      </w:r>
      <w:bookmarkEnd w:id="15"/>
    </w:p>
    <w:p w:rsidR="004605B3" w:rsidRPr="002B4866" w:rsidRDefault="004605B3" w:rsidP="002D0F24">
      <w:pPr>
        <w:rPr>
          <w:rFonts w:asciiTheme="majorHAnsi" w:hAnsiTheme="majorHAnsi"/>
        </w:rPr>
      </w:pPr>
      <w:r w:rsidRPr="002B4866">
        <w:rPr>
          <w:rFonts w:asciiTheme="majorHAnsi" w:hAnsiTheme="majorHAnsi"/>
        </w:rPr>
        <w:t>For assistance with completing the FY 201</w:t>
      </w:r>
      <w:r w:rsidR="005F7381" w:rsidRPr="002B4866">
        <w:rPr>
          <w:rFonts w:asciiTheme="majorHAnsi" w:hAnsiTheme="majorHAnsi"/>
        </w:rPr>
        <w:t>6 PCMH s</w:t>
      </w:r>
      <w:r w:rsidRPr="002B4866">
        <w:rPr>
          <w:rFonts w:asciiTheme="majorHAnsi" w:hAnsiTheme="majorHAnsi"/>
        </w:rPr>
        <w:t xml:space="preserve">upplemental </w:t>
      </w:r>
      <w:r w:rsidR="005F7381" w:rsidRPr="002B4866">
        <w:rPr>
          <w:rFonts w:asciiTheme="majorHAnsi" w:hAnsiTheme="majorHAnsi"/>
        </w:rPr>
        <w:t>f</w:t>
      </w:r>
      <w:r w:rsidRPr="002B4866">
        <w:rPr>
          <w:rFonts w:asciiTheme="majorHAnsi" w:hAnsiTheme="majorHAnsi"/>
        </w:rPr>
        <w:t xml:space="preserve">unding </w:t>
      </w:r>
      <w:r w:rsidR="005F7381" w:rsidRPr="002B4866">
        <w:rPr>
          <w:rFonts w:asciiTheme="majorHAnsi" w:hAnsiTheme="majorHAnsi"/>
        </w:rPr>
        <w:t>application</w:t>
      </w:r>
      <w:r w:rsidRPr="002B4866">
        <w:rPr>
          <w:rFonts w:asciiTheme="majorHAnsi" w:hAnsiTheme="majorHAnsi"/>
        </w:rPr>
        <w:t xml:space="preserve">, contact the appropriate resource below.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52"/>
      </w:tblGrid>
      <w:tr w:rsidR="004605B3" w:rsidRPr="002B4866" w:rsidTr="00081AE5">
        <w:trPr>
          <w:trHeight w:val="346"/>
        </w:trPr>
        <w:tc>
          <w:tcPr>
            <w:tcW w:w="4788" w:type="dxa"/>
            <w:shd w:val="clear" w:color="auto" w:fill="DBE5F1" w:themeFill="accent1" w:themeFillTint="33"/>
            <w:tcMar>
              <w:top w:w="58" w:type="dxa"/>
              <w:bottom w:w="58" w:type="dxa"/>
            </w:tcMar>
          </w:tcPr>
          <w:p w:rsidR="004605B3" w:rsidRPr="002B4866" w:rsidRDefault="004605B3" w:rsidP="002D0F24">
            <w:pPr>
              <w:rPr>
                <w:rFonts w:asciiTheme="majorHAnsi" w:hAnsiTheme="majorHAnsi"/>
                <w:b/>
                <w:bCs/>
              </w:rPr>
            </w:pPr>
            <w:r w:rsidRPr="002B4866">
              <w:rPr>
                <w:rFonts w:asciiTheme="majorHAnsi" w:hAnsiTheme="majorHAnsi"/>
              </w:rPr>
              <w:br w:type="page"/>
            </w:r>
            <w:r w:rsidRPr="002B4866">
              <w:rPr>
                <w:rFonts w:asciiTheme="majorHAnsi" w:hAnsiTheme="majorHAnsi"/>
                <w:b/>
                <w:bCs/>
              </w:rPr>
              <w:t xml:space="preserve">Electronic submission issues: </w:t>
            </w:r>
          </w:p>
        </w:tc>
        <w:tc>
          <w:tcPr>
            <w:tcW w:w="4752" w:type="dxa"/>
            <w:shd w:val="clear" w:color="auto" w:fill="DBE5F1" w:themeFill="accent1" w:themeFillTint="33"/>
          </w:tcPr>
          <w:p w:rsidR="004605B3" w:rsidRPr="002B4866" w:rsidRDefault="004605B3" w:rsidP="002D0F24">
            <w:pPr>
              <w:rPr>
                <w:rFonts w:asciiTheme="majorHAnsi" w:hAnsiTheme="majorHAnsi"/>
                <w:b/>
              </w:rPr>
            </w:pPr>
            <w:r w:rsidRPr="002B4866">
              <w:rPr>
                <w:rFonts w:asciiTheme="majorHAnsi" w:hAnsiTheme="majorHAnsi"/>
                <w:b/>
              </w:rPr>
              <w:t>Technical Assistance</w:t>
            </w:r>
            <w:r w:rsidR="00210855">
              <w:rPr>
                <w:rFonts w:asciiTheme="majorHAnsi" w:hAnsiTheme="majorHAnsi"/>
                <w:b/>
              </w:rPr>
              <w:t xml:space="preserve"> Resources:</w:t>
            </w:r>
            <w:r w:rsidRPr="002B4866">
              <w:rPr>
                <w:rFonts w:asciiTheme="majorHAnsi" w:hAnsiTheme="majorHAnsi"/>
                <w:b/>
              </w:rPr>
              <w:t xml:space="preserve"> </w:t>
            </w:r>
          </w:p>
        </w:tc>
      </w:tr>
      <w:tr w:rsidR="004605B3" w:rsidRPr="002B4866" w:rsidTr="00081AE5">
        <w:tc>
          <w:tcPr>
            <w:tcW w:w="4788" w:type="dxa"/>
            <w:tcMar>
              <w:top w:w="58" w:type="dxa"/>
              <w:bottom w:w="58" w:type="dxa"/>
            </w:tcMar>
          </w:tcPr>
          <w:p w:rsidR="004605B3" w:rsidRPr="002B4866" w:rsidRDefault="004605B3" w:rsidP="002D0F24">
            <w:pPr>
              <w:rPr>
                <w:rFonts w:asciiTheme="majorHAnsi" w:hAnsiTheme="majorHAnsi"/>
                <w:bCs/>
              </w:rPr>
            </w:pPr>
            <w:r w:rsidRPr="002B4866">
              <w:rPr>
                <w:rFonts w:asciiTheme="majorHAnsi" w:hAnsiTheme="majorHAnsi"/>
                <w:bCs/>
              </w:rPr>
              <w:t>BPHC Helpline</w:t>
            </w:r>
          </w:p>
          <w:p w:rsidR="004605B3" w:rsidRPr="002B4866" w:rsidRDefault="004605B3" w:rsidP="004627BF">
            <w:pPr>
              <w:rPr>
                <w:rFonts w:asciiTheme="majorHAnsi" w:hAnsiTheme="majorHAnsi"/>
                <w:b/>
              </w:rPr>
            </w:pPr>
            <w:r w:rsidRPr="002B4866">
              <w:rPr>
                <w:rFonts w:asciiTheme="majorHAnsi" w:hAnsiTheme="majorHAnsi"/>
                <w:bCs/>
              </w:rPr>
              <w:t xml:space="preserve">Monday through Friday, 8:30 a.m. to 5:30 p.m. ET (excluding </w:t>
            </w:r>
            <w:r w:rsidR="004627BF">
              <w:rPr>
                <w:rFonts w:asciiTheme="majorHAnsi" w:hAnsiTheme="majorHAnsi"/>
                <w:bCs/>
              </w:rPr>
              <w:t>f</w:t>
            </w:r>
            <w:r w:rsidRPr="002B4866">
              <w:rPr>
                <w:rFonts w:asciiTheme="majorHAnsi" w:hAnsiTheme="majorHAnsi"/>
                <w:bCs/>
              </w:rPr>
              <w:t>ederal holidays) at:</w:t>
            </w:r>
            <w:r w:rsidRPr="002B4866">
              <w:rPr>
                <w:rFonts w:asciiTheme="majorHAnsi" w:hAnsiTheme="majorHAnsi"/>
                <w:b/>
                <w:bCs/>
              </w:rPr>
              <w:br/>
            </w:r>
            <w:r w:rsidR="005F7381" w:rsidRPr="002B4866">
              <w:rPr>
                <w:rFonts w:asciiTheme="majorHAnsi" w:hAnsiTheme="majorHAnsi"/>
                <w:bCs/>
              </w:rPr>
              <w:t>1-877-974-BPHC (2742)</w:t>
            </w:r>
            <w:r w:rsidR="005F7381" w:rsidRPr="002B4866">
              <w:rPr>
                <w:rFonts w:asciiTheme="majorHAnsi" w:hAnsiTheme="majorHAnsi"/>
                <w:bCs/>
              </w:rPr>
              <w:br/>
            </w:r>
            <w:hyperlink r:id="rId24" w:history="1">
              <w:r w:rsidR="005F7381" w:rsidRPr="002B4866">
                <w:rPr>
                  <w:rStyle w:val="Hyperlink"/>
                  <w:rFonts w:asciiTheme="majorHAnsi" w:hAnsiTheme="majorHAnsi" w:cstheme="minorBidi"/>
                  <w:bCs/>
                </w:rPr>
                <w:t>Send email through Web Request Form</w:t>
              </w:r>
            </w:hyperlink>
          </w:p>
        </w:tc>
        <w:tc>
          <w:tcPr>
            <w:tcW w:w="4752" w:type="dxa"/>
          </w:tcPr>
          <w:p w:rsidR="004605B3" w:rsidRPr="002B4866" w:rsidRDefault="005405A2" w:rsidP="002D0F24">
            <w:pPr>
              <w:rPr>
                <w:rFonts w:asciiTheme="majorHAnsi" w:hAnsiTheme="majorHAnsi"/>
                <w:b/>
              </w:rPr>
            </w:pPr>
            <w:r w:rsidRPr="002B4866">
              <w:rPr>
                <w:rFonts w:asciiTheme="majorHAnsi" w:hAnsiTheme="majorHAnsi"/>
              </w:rPr>
              <w:t xml:space="preserve">A </w:t>
            </w:r>
            <w:hyperlink r:id="rId25" w:history="1">
              <w:r w:rsidRPr="002B4866">
                <w:rPr>
                  <w:rStyle w:val="Hyperlink"/>
                  <w:rFonts w:asciiTheme="majorHAnsi" w:hAnsiTheme="majorHAnsi" w:cstheme="minorBidi"/>
                </w:rPr>
                <w:t>website</w:t>
              </w:r>
            </w:hyperlink>
            <w:r w:rsidRPr="002B4866">
              <w:rPr>
                <w:rFonts w:asciiTheme="majorHAnsi" w:hAnsiTheme="majorHAnsi"/>
              </w:rPr>
              <w:t xml:space="preserve"> has been established to provide copies of forms, FAQs, and other resources</w:t>
            </w:r>
          </w:p>
        </w:tc>
      </w:tr>
      <w:tr w:rsidR="004605B3" w:rsidRPr="002B4866" w:rsidTr="00081AE5">
        <w:trPr>
          <w:cantSplit/>
          <w:trHeight w:val="337"/>
        </w:trPr>
        <w:tc>
          <w:tcPr>
            <w:tcW w:w="4788" w:type="dxa"/>
            <w:shd w:val="clear" w:color="auto" w:fill="DBE5F1" w:themeFill="accent1" w:themeFillTint="33"/>
            <w:tcMar>
              <w:top w:w="58" w:type="dxa"/>
              <w:bottom w:w="58" w:type="dxa"/>
            </w:tcMar>
          </w:tcPr>
          <w:p w:rsidR="004605B3" w:rsidRPr="002B4866" w:rsidRDefault="004605B3" w:rsidP="002D0F24">
            <w:pPr>
              <w:rPr>
                <w:rFonts w:asciiTheme="majorHAnsi" w:hAnsiTheme="majorHAnsi"/>
                <w:b/>
              </w:rPr>
            </w:pPr>
            <w:r w:rsidRPr="002B4866">
              <w:rPr>
                <w:rFonts w:asciiTheme="majorHAnsi" w:hAnsiTheme="majorHAnsi"/>
                <w:b/>
              </w:rPr>
              <w:t xml:space="preserve">Program related questions: </w:t>
            </w:r>
          </w:p>
        </w:tc>
        <w:tc>
          <w:tcPr>
            <w:tcW w:w="4752" w:type="dxa"/>
            <w:shd w:val="clear" w:color="auto" w:fill="DBE5F1" w:themeFill="accent1" w:themeFillTint="33"/>
          </w:tcPr>
          <w:p w:rsidR="004605B3" w:rsidRPr="002B4866" w:rsidRDefault="004605B3" w:rsidP="002D0F24">
            <w:pPr>
              <w:rPr>
                <w:rFonts w:asciiTheme="majorHAnsi" w:hAnsiTheme="majorHAnsi"/>
              </w:rPr>
            </w:pPr>
            <w:r w:rsidRPr="002B4866">
              <w:rPr>
                <w:rFonts w:asciiTheme="majorHAnsi" w:hAnsiTheme="majorHAnsi"/>
                <w:b/>
              </w:rPr>
              <w:t>Budget or other fiscal issues:</w:t>
            </w:r>
          </w:p>
        </w:tc>
      </w:tr>
      <w:tr w:rsidR="004605B3" w:rsidRPr="002B4866" w:rsidTr="00081AE5">
        <w:tc>
          <w:tcPr>
            <w:tcW w:w="4788" w:type="dxa"/>
            <w:tcMar>
              <w:top w:w="58" w:type="dxa"/>
              <w:bottom w:w="58" w:type="dxa"/>
            </w:tcMar>
          </w:tcPr>
          <w:p w:rsidR="00196DB3" w:rsidRPr="00196DB3" w:rsidRDefault="00196DB3" w:rsidP="00196DB3">
            <w:pPr>
              <w:rPr>
                <w:rFonts w:asciiTheme="majorHAnsi" w:hAnsiTheme="majorHAnsi"/>
              </w:rPr>
            </w:pPr>
            <w:r w:rsidRPr="00196DB3">
              <w:rPr>
                <w:rFonts w:asciiTheme="majorHAnsi" w:hAnsiTheme="majorHAnsi"/>
              </w:rPr>
              <w:t>PCMH Technical Assistance Team</w:t>
            </w:r>
          </w:p>
          <w:p w:rsidR="00196DB3" w:rsidRDefault="00196DB3" w:rsidP="00196DB3">
            <w:pPr>
              <w:rPr>
                <w:rFonts w:asciiTheme="majorHAnsi" w:hAnsiTheme="majorHAnsi"/>
              </w:rPr>
            </w:pPr>
            <w:r w:rsidRPr="00196DB3">
              <w:rPr>
                <w:rFonts w:asciiTheme="majorHAnsi" w:hAnsiTheme="majorHAnsi"/>
              </w:rPr>
              <w:t>Bureau of Primary Health Care</w:t>
            </w:r>
          </w:p>
          <w:p w:rsidR="004605B3" w:rsidRPr="002B4866" w:rsidRDefault="00147B64" w:rsidP="00196DB3">
            <w:pPr>
              <w:rPr>
                <w:rFonts w:asciiTheme="majorHAnsi" w:hAnsiTheme="majorHAnsi"/>
              </w:rPr>
            </w:pPr>
            <w:hyperlink r:id="rId26" w:history="1">
              <w:r w:rsidR="00196DB3" w:rsidRPr="00196DB3">
                <w:rPr>
                  <w:rStyle w:val="Hyperlink"/>
                  <w:rFonts w:asciiTheme="majorHAnsi" w:hAnsiTheme="majorHAnsi" w:cstheme="minorBidi"/>
                </w:rPr>
                <w:t>pcmhsupplement@hrsa.gov</w:t>
              </w:r>
            </w:hyperlink>
          </w:p>
        </w:tc>
        <w:tc>
          <w:tcPr>
            <w:tcW w:w="4752" w:type="dxa"/>
          </w:tcPr>
          <w:p w:rsidR="00AE3C83" w:rsidRDefault="00AE3C83" w:rsidP="002D0F24">
            <w:pPr>
              <w:rPr>
                <w:rFonts w:asciiTheme="majorHAnsi" w:hAnsiTheme="majorHAnsi"/>
              </w:rPr>
            </w:pPr>
            <w:r w:rsidRPr="00AE3C83">
              <w:rPr>
                <w:rFonts w:asciiTheme="majorHAnsi" w:hAnsiTheme="majorHAnsi"/>
              </w:rPr>
              <w:t>Terry Hatchett</w:t>
            </w:r>
          </w:p>
          <w:p w:rsidR="00AE3C83" w:rsidRDefault="00AE3C83" w:rsidP="002D0F24">
            <w:pPr>
              <w:rPr>
                <w:rFonts w:asciiTheme="majorHAnsi" w:hAnsiTheme="majorHAnsi"/>
              </w:rPr>
            </w:pPr>
            <w:r>
              <w:rPr>
                <w:rFonts w:asciiTheme="majorHAnsi" w:hAnsiTheme="majorHAnsi"/>
              </w:rPr>
              <w:t>Division of Grants Management Operations</w:t>
            </w:r>
          </w:p>
          <w:p w:rsidR="00AE3C83" w:rsidRDefault="00AE3C83" w:rsidP="002D0F24">
            <w:pPr>
              <w:rPr>
                <w:rFonts w:asciiTheme="majorHAnsi" w:hAnsiTheme="majorHAnsi"/>
              </w:rPr>
            </w:pPr>
            <w:r>
              <w:rPr>
                <w:rFonts w:asciiTheme="majorHAnsi" w:hAnsiTheme="majorHAnsi"/>
              </w:rPr>
              <w:t>Office of Financial Assistance Management</w:t>
            </w:r>
          </w:p>
          <w:p w:rsidR="004605B3" w:rsidRPr="002B4866" w:rsidRDefault="00147B64" w:rsidP="002D0F24">
            <w:pPr>
              <w:rPr>
                <w:rFonts w:asciiTheme="majorHAnsi" w:hAnsiTheme="majorHAnsi"/>
              </w:rPr>
            </w:pPr>
            <w:hyperlink r:id="rId27" w:history="1">
              <w:r w:rsidR="00AE3C83" w:rsidRPr="00AE3C83">
                <w:rPr>
                  <w:rStyle w:val="Hyperlink"/>
                  <w:rFonts w:asciiTheme="majorHAnsi" w:hAnsiTheme="majorHAnsi" w:cstheme="minorBidi"/>
                </w:rPr>
                <w:t>THatchett@hrsa.gov</w:t>
              </w:r>
            </w:hyperlink>
          </w:p>
        </w:tc>
      </w:tr>
    </w:tbl>
    <w:p w:rsidR="004605B3" w:rsidRPr="002B4866" w:rsidRDefault="004605B3" w:rsidP="002D0F24">
      <w:pPr>
        <w:rPr>
          <w:rFonts w:asciiTheme="majorHAnsi" w:hAnsiTheme="majorHAnsi"/>
        </w:rPr>
        <w:sectPr w:rsidR="004605B3" w:rsidRPr="002B4866" w:rsidSect="00A11542">
          <w:headerReference w:type="default" r:id="rId28"/>
          <w:footerReference w:type="default" r:id="rId29"/>
          <w:pgSz w:w="12240" w:h="15840" w:code="1"/>
          <w:pgMar w:top="1440" w:right="1440" w:bottom="1440" w:left="1440" w:header="720" w:footer="720" w:gutter="0"/>
          <w:cols w:sep="1" w:space="720"/>
          <w:docGrid w:linePitch="326"/>
        </w:sectPr>
      </w:pPr>
    </w:p>
    <w:p w:rsidR="00FD5A46" w:rsidRPr="002B4866" w:rsidRDefault="004605B3" w:rsidP="002D0F24">
      <w:pPr>
        <w:pStyle w:val="Heading1"/>
        <w:spacing w:before="0"/>
        <w:jc w:val="center"/>
      </w:pPr>
      <w:bookmarkStart w:id="16" w:name="_Appendix_A:_Application"/>
      <w:bookmarkStart w:id="17" w:name="_Toc449951379"/>
      <w:bookmarkEnd w:id="16"/>
      <w:r w:rsidRPr="002B4866">
        <w:t>Appendix A: Application Components</w:t>
      </w:r>
      <w:bookmarkEnd w:id="17"/>
    </w:p>
    <w:p w:rsidR="004605B3" w:rsidRPr="00C85E12" w:rsidRDefault="004605B3" w:rsidP="002D0F24">
      <w:pPr>
        <w:rPr>
          <w:rFonts w:asciiTheme="majorHAnsi" w:hAnsiTheme="majorHAnsi"/>
          <w:sz w:val="22"/>
          <w:szCs w:val="22"/>
        </w:rPr>
      </w:pPr>
    </w:p>
    <w:tbl>
      <w:tblPr>
        <w:tblStyle w:val="TableGrid"/>
        <w:tblW w:w="9270" w:type="dxa"/>
        <w:tblInd w:w="115" w:type="dxa"/>
        <w:tblCellMar>
          <w:top w:w="29" w:type="dxa"/>
          <w:left w:w="115" w:type="dxa"/>
          <w:bottom w:w="29" w:type="dxa"/>
          <w:right w:w="115" w:type="dxa"/>
        </w:tblCellMar>
        <w:tblLook w:val="04A0" w:firstRow="1" w:lastRow="0" w:firstColumn="1" w:lastColumn="0" w:noHBand="0" w:noVBand="1"/>
        <w:tblCaption w:val="Application components"/>
      </w:tblPr>
      <w:tblGrid>
        <w:gridCol w:w="9270"/>
      </w:tblGrid>
      <w:tr w:rsidR="00DF5441" w:rsidRPr="00C85E12" w:rsidTr="00D23415">
        <w:trPr>
          <w:trHeight w:val="173"/>
          <w:tblHeader/>
        </w:trPr>
        <w:tc>
          <w:tcPr>
            <w:tcW w:w="9270" w:type="dxa"/>
            <w:shd w:val="clear" w:color="auto" w:fill="D9D9D9" w:themeFill="background1" w:themeFillShade="D9"/>
          </w:tcPr>
          <w:p w:rsidR="00DF5441" w:rsidRPr="00C85E12" w:rsidRDefault="00DF5441" w:rsidP="002D0F24">
            <w:pPr>
              <w:rPr>
                <w:rFonts w:asciiTheme="majorHAnsi" w:hAnsiTheme="majorHAnsi"/>
                <w:sz w:val="22"/>
                <w:szCs w:val="22"/>
              </w:rPr>
            </w:pPr>
            <w:r w:rsidRPr="00C85E12">
              <w:rPr>
                <w:rFonts w:asciiTheme="majorHAnsi" w:hAnsiTheme="majorHAnsi"/>
                <w:b/>
                <w:sz w:val="22"/>
                <w:szCs w:val="22"/>
              </w:rPr>
              <w:t>SF-424 Basic Information and Budget Sections</w:t>
            </w:r>
          </w:p>
        </w:tc>
      </w:tr>
      <w:tr w:rsidR="00DF5441" w:rsidRPr="00C85E12" w:rsidTr="00D23415">
        <w:trPr>
          <w:trHeight w:val="173"/>
        </w:trPr>
        <w:tc>
          <w:tcPr>
            <w:tcW w:w="9270" w:type="dxa"/>
            <w:tcBorders>
              <w:bottom w:val="single" w:sz="4" w:space="0" w:color="auto"/>
            </w:tcBorders>
          </w:tcPr>
          <w:p w:rsidR="00DF5441" w:rsidRPr="00C85E12" w:rsidRDefault="00DE33ED" w:rsidP="00A8762B">
            <w:pPr>
              <w:rPr>
                <w:rFonts w:asciiTheme="majorHAnsi" w:hAnsiTheme="majorHAnsi"/>
                <w:sz w:val="22"/>
                <w:szCs w:val="22"/>
              </w:rPr>
            </w:pPr>
            <w:r w:rsidRPr="00C85E12">
              <w:rPr>
                <w:rFonts w:asciiTheme="majorHAnsi" w:hAnsiTheme="majorHAnsi"/>
                <w:sz w:val="22"/>
                <w:szCs w:val="22"/>
              </w:rPr>
              <w:t xml:space="preserve">Enter the required information on SF-424 Part 1 and Part 2.  Fields that are not marked as required may be left blank.  In Section A of the SF-424 Budget Information form, enter the federal and non-federal costs for the </w:t>
            </w:r>
            <w:r w:rsidR="00233BC4">
              <w:rPr>
                <w:rFonts w:asciiTheme="majorHAnsi" w:hAnsiTheme="majorHAnsi"/>
                <w:sz w:val="22"/>
                <w:szCs w:val="22"/>
              </w:rPr>
              <w:t>12 month</w:t>
            </w:r>
            <w:r w:rsidRPr="00C85E12">
              <w:rPr>
                <w:rFonts w:asciiTheme="majorHAnsi" w:hAnsiTheme="majorHAnsi"/>
                <w:sz w:val="22"/>
                <w:szCs w:val="22"/>
              </w:rPr>
              <w:t xml:space="preserve"> </w:t>
            </w:r>
            <w:r w:rsidR="001A7C2C">
              <w:rPr>
                <w:rFonts w:asciiTheme="majorHAnsi" w:hAnsiTheme="majorHAnsi"/>
                <w:sz w:val="22"/>
                <w:szCs w:val="22"/>
              </w:rPr>
              <w:t>funding</w:t>
            </w:r>
            <w:r w:rsidRPr="00C85E12">
              <w:rPr>
                <w:rFonts w:asciiTheme="majorHAnsi" w:hAnsiTheme="majorHAnsi"/>
                <w:sz w:val="22"/>
                <w:szCs w:val="22"/>
              </w:rPr>
              <w:t xml:space="preserve"> period</w:t>
            </w:r>
            <w:r w:rsidR="00045376" w:rsidRPr="00C85E12">
              <w:rPr>
                <w:rFonts w:asciiTheme="majorHAnsi" w:hAnsiTheme="majorHAnsi"/>
                <w:sz w:val="22"/>
                <w:szCs w:val="22"/>
              </w:rPr>
              <w:t xml:space="preserve"> (8/1/2016 – 7/31/2017) </w:t>
            </w:r>
            <w:r w:rsidRPr="00C85E12">
              <w:rPr>
                <w:rFonts w:asciiTheme="majorHAnsi" w:hAnsiTheme="majorHAnsi"/>
                <w:sz w:val="22"/>
                <w:szCs w:val="22"/>
              </w:rPr>
              <w:t xml:space="preserve">for each currently funded </w:t>
            </w:r>
            <w:r w:rsidR="00C60591">
              <w:rPr>
                <w:rFonts w:asciiTheme="majorHAnsi" w:hAnsiTheme="majorHAnsi"/>
                <w:sz w:val="22"/>
                <w:szCs w:val="22"/>
              </w:rPr>
              <w:t>special population</w:t>
            </w:r>
            <w:r w:rsidRPr="00C85E12">
              <w:rPr>
                <w:rFonts w:asciiTheme="majorHAnsi" w:hAnsiTheme="majorHAnsi"/>
                <w:sz w:val="22"/>
                <w:szCs w:val="22"/>
              </w:rPr>
              <w:t xml:space="preserve">, as applicable.  </w:t>
            </w:r>
            <w:r w:rsidR="005A022D" w:rsidRPr="00C85E12">
              <w:rPr>
                <w:rFonts w:asciiTheme="majorHAnsi" w:hAnsiTheme="majorHAnsi"/>
                <w:bCs/>
                <w:sz w:val="22"/>
                <w:szCs w:val="22"/>
              </w:rPr>
              <w:t xml:space="preserve">FY 2016 </w:t>
            </w:r>
            <w:r w:rsidRPr="00C85E12">
              <w:rPr>
                <w:rFonts w:asciiTheme="majorHAnsi" w:hAnsiTheme="majorHAnsi"/>
                <w:sz w:val="22"/>
                <w:szCs w:val="22"/>
              </w:rPr>
              <w:t xml:space="preserve">PCMH funding must be requested </w:t>
            </w:r>
            <w:r w:rsidR="00C33682" w:rsidRPr="00C85E12">
              <w:rPr>
                <w:rFonts w:asciiTheme="majorHAnsi" w:hAnsiTheme="majorHAnsi"/>
                <w:sz w:val="22"/>
                <w:szCs w:val="22"/>
              </w:rPr>
              <w:t>by and will be provided to award recipient</w:t>
            </w:r>
            <w:r w:rsidR="001A7C2C">
              <w:rPr>
                <w:rFonts w:asciiTheme="majorHAnsi" w:hAnsiTheme="majorHAnsi"/>
                <w:sz w:val="22"/>
                <w:szCs w:val="22"/>
              </w:rPr>
              <w:t>s</w:t>
            </w:r>
            <w:r w:rsidR="00C33682" w:rsidRPr="00C85E12">
              <w:rPr>
                <w:rFonts w:asciiTheme="majorHAnsi" w:hAnsiTheme="majorHAnsi"/>
                <w:sz w:val="22"/>
                <w:szCs w:val="22"/>
              </w:rPr>
              <w:t xml:space="preserve"> </w:t>
            </w:r>
            <w:r w:rsidR="00F866FC">
              <w:rPr>
                <w:rFonts w:asciiTheme="majorHAnsi" w:hAnsiTheme="majorHAnsi"/>
                <w:sz w:val="22"/>
                <w:szCs w:val="22"/>
              </w:rPr>
              <w:t>in the same special population funding proportion(s) a</w:t>
            </w:r>
            <w:r w:rsidRPr="00C85E12">
              <w:rPr>
                <w:rFonts w:asciiTheme="majorHAnsi" w:hAnsiTheme="majorHAnsi"/>
                <w:sz w:val="22"/>
                <w:szCs w:val="22"/>
              </w:rPr>
              <w:t xml:space="preserve">s the </w:t>
            </w:r>
            <w:r w:rsidR="00F866FC">
              <w:rPr>
                <w:rFonts w:asciiTheme="majorHAnsi" w:hAnsiTheme="majorHAnsi"/>
                <w:sz w:val="22"/>
                <w:szCs w:val="22"/>
              </w:rPr>
              <w:t>existing</w:t>
            </w:r>
            <w:r w:rsidRPr="00C85E12">
              <w:rPr>
                <w:rFonts w:asciiTheme="majorHAnsi" w:hAnsiTheme="majorHAnsi"/>
                <w:sz w:val="22"/>
                <w:szCs w:val="22"/>
              </w:rPr>
              <w:t xml:space="preserve"> Health Center Program </w:t>
            </w:r>
            <w:r w:rsidR="000C5B81">
              <w:rPr>
                <w:rFonts w:asciiTheme="majorHAnsi" w:hAnsiTheme="majorHAnsi"/>
                <w:sz w:val="22"/>
                <w:szCs w:val="22"/>
              </w:rPr>
              <w:t xml:space="preserve">operational </w:t>
            </w:r>
            <w:r w:rsidRPr="00C85E12">
              <w:rPr>
                <w:rFonts w:asciiTheme="majorHAnsi" w:hAnsiTheme="majorHAnsi"/>
                <w:sz w:val="22"/>
                <w:szCs w:val="22"/>
              </w:rPr>
              <w:t>grant</w:t>
            </w:r>
            <w:r w:rsidR="000C5B81">
              <w:rPr>
                <w:rFonts w:asciiTheme="majorHAnsi" w:hAnsiTheme="majorHAnsi"/>
                <w:sz w:val="22"/>
                <w:szCs w:val="22"/>
              </w:rPr>
              <w:t xml:space="preserve"> funding</w:t>
            </w:r>
            <w:r w:rsidRPr="00C85E12">
              <w:rPr>
                <w:rFonts w:asciiTheme="majorHAnsi" w:hAnsiTheme="majorHAnsi"/>
                <w:sz w:val="22"/>
                <w:szCs w:val="22"/>
              </w:rPr>
              <w:t xml:space="preserve">.  </w:t>
            </w:r>
            <w:r w:rsidR="006A385C" w:rsidRPr="00C85E12">
              <w:rPr>
                <w:rFonts w:asciiTheme="majorHAnsi" w:hAnsiTheme="majorHAnsi"/>
                <w:sz w:val="22"/>
                <w:szCs w:val="22"/>
              </w:rPr>
              <w:t>HRSA will provide each eligible health center their maximum funding request value</w:t>
            </w:r>
            <w:r w:rsidR="00F079A6">
              <w:rPr>
                <w:rFonts w:asciiTheme="majorHAnsi" w:hAnsiTheme="majorHAnsi"/>
                <w:sz w:val="22"/>
                <w:szCs w:val="22"/>
              </w:rPr>
              <w:t>(s)</w:t>
            </w:r>
            <w:r w:rsidR="006A385C" w:rsidRPr="00C85E12">
              <w:rPr>
                <w:rFonts w:asciiTheme="majorHAnsi" w:hAnsiTheme="majorHAnsi"/>
                <w:sz w:val="22"/>
                <w:szCs w:val="22"/>
              </w:rPr>
              <w:t xml:space="preserve"> by </w:t>
            </w:r>
            <w:r w:rsidR="00A8762B">
              <w:rPr>
                <w:rFonts w:asciiTheme="majorHAnsi" w:hAnsiTheme="majorHAnsi"/>
                <w:sz w:val="22"/>
                <w:szCs w:val="22"/>
              </w:rPr>
              <w:t>special population funding proportion(s).</w:t>
            </w:r>
          </w:p>
        </w:tc>
      </w:tr>
      <w:tr w:rsidR="00DF5441" w:rsidRPr="00C85E12" w:rsidTr="00D23415">
        <w:trPr>
          <w:trHeight w:val="173"/>
        </w:trPr>
        <w:tc>
          <w:tcPr>
            <w:tcW w:w="9270" w:type="dxa"/>
            <w:shd w:val="clear" w:color="auto" w:fill="D9D9D9" w:themeFill="background1" w:themeFillShade="D9"/>
          </w:tcPr>
          <w:p w:rsidR="00DF5441" w:rsidRPr="00C85E12" w:rsidRDefault="00DF5441" w:rsidP="002D0F24">
            <w:pPr>
              <w:rPr>
                <w:rFonts w:asciiTheme="majorHAnsi" w:hAnsiTheme="majorHAnsi"/>
                <w:sz w:val="22"/>
                <w:szCs w:val="22"/>
              </w:rPr>
            </w:pPr>
            <w:r w:rsidRPr="00C85E12">
              <w:rPr>
                <w:rFonts w:asciiTheme="majorHAnsi" w:hAnsiTheme="majorHAnsi"/>
                <w:b/>
                <w:sz w:val="22"/>
                <w:szCs w:val="22"/>
              </w:rPr>
              <w:t>Project Description/Abstract (upload as attachment)</w:t>
            </w:r>
          </w:p>
        </w:tc>
      </w:tr>
      <w:tr w:rsidR="00DF5441" w:rsidRPr="00C85E12" w:rsidTr="00D23415">
        <w:trPr>
          <w:trHeight w:val="173"/>
        </w:trPr>
        <w:tc>
          <w:tcPr>
            <w:tcW w:w="9270" w:type="dxa"/>
            <w:tcBorders>
              <w:bottom w:val="single" w:sz="4" w:space="0" w:color="auto"/>
            </w:tcBorders>
          </w:tcPr>
          <w:p w:rsidR="00DF5441" w:rsidRPr="00C85E12" w:rsidRDefault="005022D4" w:rsidP="005022D4">
            <w:pPr>
              <w:rPr>
                <w:rFonts w:asciiTheme="majorHAnsi" w:hAnsiTheme="majorHAnsi"/>
                <w:sz w:val="22"/>
                <w:szCs w:val="22"/>
              </w:rPr>
            </w:pPr>
            <w:r>
              <w:rPr>
                <w:rFonts w:asciiTheme="majorHAnsi" w:hAnsiTheme="majorHAnsi"/>
                <w:sz w:val="22"/>
                <w:szCs w:val="22"/>
              </w:rPr>
              <w:t>Briefly s</w:t>
            </w:r>
            <w:r w:rsidR="00DF5441" w:rsidRPr="00C85E12">
              <w:rPr>
                <w:rFonts w:asciiTheme="majorHAnsi" w:hAnsiTheme="majorHAnsi"/>
                <w:sz w:val="22"/>
                <w:szCs w:val="22"/>
              </w:rPr>
              <w:t xml:space="preserve">ummarize the proposed </w:t>
            </w:r>
            <w:r w:rsidR="00DE33ED" w:rsidRPr="00C85E12">
              <w:rPr>
                <w:rFonts w:asciiTheme="majorHAnsi" w:hAnsiTheme="majorHAnsi"/>
                <w:sz w:val="22"/>
                <w:szCs w:val="22"/>
              </w:rPr>
              <w:t>PCMH deve</w:t>
            </w:r>
            <w:r w:rsidR="00045376" w:rsidRPr="00C85E12">
              <w:rPr>
                <w:rFonts w:asciiTheme="majorHAnsi" w:hAnsiTheme="majorHAnsi"/>
                <w:sz w:val="22"/>
                <w:szCs w:val="22"/>
              </w:rPr>
              <w:t>lopment activities, timeline, and outcomes</w:t>
            </w:r>
            <w:r w:rsidR="00DF5441" w:rsidRPr="00C85E12">
              <w:rPr>
                <w:rFonts w:asciiTheme="majorHAnsi" w:hAnsiTheme="majorHAnsi"/>
                <w:sz w:val="22"/>
                <w:szCs w:val="22"/>
              </w:rPr>
              <w:t>.  The Project Description/Abstract must be single-spaced and limited to one page in length.</w:t>
            </w:r>
          </w:p>
        </w:tc>
      </w:tr>
      <w:tr w:rsidR="00DF5441" w:rsidRPr="00C85E12" w:rsidTr="00D23415">
        <w:trPr>
          <w:trHeight w:val="173"/>
        </w:trPr>
        <w:tc>
          <w:tcPr>
            <w:tcW w:w="9270" w:type="dxa"/>
            <w:shd w:val="clear" w:color="auto" w:fill="D9D9D9" w:themeFill="background1" w:themeFillShade="D9"/>
          </w:tcPr>
          <w:p w:rsidR="00DF5441" w:rsidRPr="00C85E12" w:rsidRDefault="00DF5441" w:rsidP="002D0F24">
            <w:pPr>
              <w:rPr>
                <w:rFonts w:asciiTheme="majorHAnsi" w:hAnsiTheme="majorHAnsi"/>
                <w:sz w:val="22"/>
                <w:szCs w:val="22"/>
              </w:rPr>
            </w:pPr>
            <w:r w:rsidRPr="00C85E12">
              <w:rPr>
                <w:rFonts w:asciiTheme="majorHAnsi" w:hAnsiTheme="majorHAnsi"/>
                <w:b/>
                <w:sz w:val="22"/>
                <w:szCs w:val="22"/>
              </w:rPr>
              <w:t>Federal Object Class Categories Form</w:t>
            </w:r>
          </w:p>
        </w:tc>
      </w:tr>
      <w:tr w:rsidR="00DF5441" w:rsidRPr="00C85E12" w:rsidTr="00D23415">
        <w:trPr>
          <w:trHeight w:val="173"/>
        </w:trPr>
        <w:tc>
          <w:tcPr>
            <w:tcW w:w="9270" w:type="dxa"/>
          </w:tcPr>
          <w:p w:rsidR="00DF5441" w:rsidRPr="00C85E12" w:rsidRDefault="00DF5441" w:rsidP="00B854F0">
            <w:pPr>
              <w:rPr>
                <w:rFonts w:asciiTheme="majorHAnsi" w:hAnsiTheme="majorHAnsi"/>
                <w:sz w:val="22"/>
                <w:szCs w:val="22"/>
              </w:rPr>
            </w:pPr>
            <w:r w:rsidRPr="00C85E12">
              <w:rPr>
                <w:rFonts w:asciiTheme="majorHAnsi" w:hAnsiTheme="majorHAnsi"/>
                <w:sz w:val="22"/>
                <w:szCs w:val="22"/>
              </w:rPr>
              <w:t xml:space="preserve">Enter federal and non-federal expenses for the </w:t>
            </w:r>
            <w:r w:rsidR="005A022D" w:rsidRPr="00C85E12">
              <w:rPr>
                <w:rFonts w:asciiTheme="majorHAnsi" w:hAnsiTheme="majorHAnsi"/>
                <w:bCs/>
                <w:sz w:val="22"/>
                <w:szCs w:val="22"/>
              </w:rPr>
              <w:t xml:space="preserve">FY 2016 </w:t>
            </w:r>
            <w:r w:rsidRPr="00C85E12">
              <w:rPr>
                <w:rFonts w:asciiTheme="majorHAnsi" w:hAnsiTheme="majorHAnsi"/>
                <w:sz w:val="22"/>
                <w:szCs w:val="22"/>
              </w:rPr>
              <w:t xml:space="preserve">PCMH application by object class category (e.g., personnel, supplies) for all proposed activities for the </w:t>
            </w:r>
            <w:r w:rsidR="00233BC4">
              <w:rPr>
                <w:rFonts w:asciiTheme="majorHAnsi" w:hAnsiTheme="majorHAnsi"/>
                <w:sz w:val="22"/>
                <w:szCs w:val="22"/>
              </w:rPr>
              <w:t>12 month</w:t>
            </w:r>
            <w:r w:rsidR="00045376" w:rsidRPr="00C85E12">
              <w:rPr>
                <w:rFonts w:asciiTheme="majorHAnsi" w:hAnsiTheme="majorHAnsi"/>
                <w:sz w:val="22"/>
                <w:szCs w:val="22"/>
              </w:rPr>
              <w:t xml:space="preserve"> </w:t>
            </w:r>
            <w:r w:rsidR="00061A94">
              <w:rPr>
                <w:rFonts w:asciiTheme="majorHAnsi" w:hAnsiTheme="majorHAnsi"/>
                <w:sz w:val="22"/>
                <w:szCs w:val="22"/>
              </w:rPr>
              <w:t>funding</w:t>
            </w:r>
            <w:r w:rsidR="00061A94" w:rsidRPr="00C85E12">
              <w:rPr>
                <w:rFonts w:asciiTheme="majorHAnsi" w:hAnsiTheme="majorHAnsi"/>
                <w:sz w:val="22"/>
                <w:szCs w:val="22"/>
              </w:rPr>
              <w:t xml:space="preserve"> </w:t>
            </w:r>
            <w:r w:rsidRPr="00C85E12">
              <w:rPr>
                <w:rFonts w:asciiTheme="majorHAnsi" w:hAnsiTheme="majorHAnsi"/>
                <w:sz w:val="22"/>
                <w:szCs w:val="22"/>
              </w:rPr>
              <w:t xml:space="preserve">period </w:t>
            </w:r>
            <w:r w:rsidR="00045376" w:rsidRPr="00C85E12">
              <w:rPr>
                <w:rFonts w:asciiTheme="majorHAnsi" w:hAnsiTheme="majorHAnsi"/>
                <w:sz w:val="22"/>
                <w:szCs w:val="22"/>
              </w:rPr>
              <w:t>(8</w:t>
            </w:r>
            <w:r w:rsidRPr="00C85E12">
              <w:rPr>
                <w:rFonts w:asciiTheme="majorHAnsi" w:hAnsiTheme="majorHAnsi"/>
                <w:sz w:val="22"/>
                <w:szCs w:val="22"/>
              </w:rPr>
              <w:t xml:space="preserve">/1/2016 – </w:t>
            </w:r>
            <w:r w:rsidR="00045376" w:rsidRPr="00C85E12">
              <w:rPr>
                <w:rFonts w:asciiTheme="majorHAnsi" w:hAnsiTheme="majorHAnsi"/>
                <w:sz w:val="22"/>
                <w:szCs w:val="22"/>
              </w:rPr>
              <w:t>7/31</w:t>
            </w:r>
            <w:r w:rsidRPr="00C85E12">
              <w:rPr>
                <w:rFonts w:asciiTheme="majorHAnsi" w:hAnsiTheme="majorHAnsi"/>
                <w:sz w:val="22"/>
                <w:szCs w:val="22"/>
              </w:rPr>
              <w:t>/2017).</w:t>
            </w:r>
          </w:p>
        </w:tc>
      </w:tr>
      <w:tr w:rsidR="00EE33E3" w:rsidRPr="00C85E12" w:rsidTr="00D23415">
        <w:trPr>
          <w:trHeight w:val="173"/>
        </w:trPr>
        <w:tc>
          <w:tcPr>
            <w:tcW w:w="9270" w:type="dxa"/>
            <w:shd w:val="clear" w:color="auto" w:fill="D9D9D9" w:themeFill="background1" w:themeFillShade="D9"/>
          </w:tcPr>
          <w:p w:rsidR="00EE33E3" w:rsidRPr="00C85E12" w:rsidRDefault="00EE33E3" w:rsidP="002D0F24">
            <w:pPr>
              <w:rPr>
                <w:rFonts w:asciiTheme="majorHAnsi" w:hAnsiTheme="majorHAnsi"/>
                <w:sz w:val="22"/>
                <w:szCs w:val="22"/>
              </w:rPr>
            </w:pPr>
            <w:r w:rsidRPr="00C85E12">
              <w:rPr>
                <w:rFonts w:asciiTheme="majorHAnsi" w:hAnsiTheme="majorHAnsi"/>
                <w:b/>
                <w:sz w:val="22"/>
                <w:szCs w:val="22"/>
              </w:rPr>
              <w:t xml:space="preserve">Budget Justification </w:t>
            </w:r>
            <w:r w:rsidR="004627BF">
              <w:rPr>
                <w:rFonts w:asciiTheme="majorHAnsi" w:hAnsiTheme="majorHAnsi"/>
                <w:b/>
                <w:sz w:val="22"/>
                <w:szCs w:val="22"/>
              </w:rPr>
              <w:t xml:space="preserve">Narrative </w:t>
            </w:r>
            <w:r w:rsidRPr="00C85E12">
              <w:rPr>
                <w:rFonts w:asciiTheme="majorHAnsi" w:hAnsiTheme="majorHAnsi"/>
                <w:b/>
                <w:sz w:val="22"/>
                <w:szCs w:val="22"/>
              </w:rPr>
              <w:t>(upload as attachment)</w:t>
            </w:r>
          </w:p>
        </w:tc>
      </w:tr>
      <w:tr w:rsidR="00EE33E3" w:rsidRPr="00C85E12" w:rsidTr="00D23415">
        <w:trPr>
          <w:trHeight w:val="173"/>
        </w:trPr>
        <w:tc>
          <w:tcPr>
            <w:tcW w:w="9270" w:type="dxa"/>
          </w:tcPr>
          <w:p w:rsidR="00EE33E3" w:rsidRPr="00C85E12" w:rsidRDefault="00DE33ED" w:rsidP="00B854F0">
            <w:pPr>
              <w:rPr>
                <w:rFonts w:asciiTheme="majorHAnsi" w:hAnsiTheme="majorHAnsi"/>
                <w:sz w:val="22"/>
                <w:szCs w:val="22"/>
              </w:rPr>
            </w:pPr>
            <w:r w:rsidRPr="00C85E12">
              <w:rPr>
                <w:rFonts w:asciiTheme="majorHAnsi" w:hAnsiTheme="majorHAnsi"/>
                <w:sz w:val="22"/>
                <w:szCs w:val="22"/>
              </w:rPr>
              <w:t xml:space="preserve">Complete a </w:t>
            </w:r>
            <w:r w:rsidR="00233BC4">
              <w:rPr>
                <w:rFonts w:asciiTheme="majorHAnsi" w:hAnsiTheme="majorHAnsi"/>
                <w:sz w:val="22"/>
                <w:szCs w:val="22"/>
              </w:rPr>
              <w:t>12 month</w:t>
            </w:r>
            <w:r w:rsidRPr="00C85E12">
              <w:rPr>
                <w:rFonts w:asciiTheme="majorHAnsi" w:hAnsiTheme="majorHAnsi"/>
                <w:sz w:val="22"/>
                <w:szCs w:val="22"/>
              </w:rPr>
              <w:t xml:space="preserve"> Budget Justification Narrative that details </w:t>
            </w:r>
            <w:r w:rsidR="006A385C" w:rsidRPr="00C85E12">
              <w:rPr>
                <w:rFonts w:asciiTheme="majorHAnsi" w:hAnsiTheme="majorHAnsi"/>
                <w:sz w:val="22"/>
                <w:szCs w:val="22"/>
              </w:rPr>
              <w:t xml:space="preserve">one-time </w:t>
            </w:r>
            <w:r w:rsidRPr="00C85E12">
              <w:rPr>
                <w:rFonts w:asciiTheme="majorHAnsi" w:hAnsiTheme="majorHAnsi"/>
                <w:sz w:val="22"/>
                <w:szCs w:val="22"/>
              </w:rPr>
              <w:t xml:space="preserve">costs for all proposed PCMH development activities.  The Budget Justification Narrative must clearly detail the federal and non-federal costs </w:t>
            </w:r>
            <w:r w:rsidR="000D5DD6" w:rsidRPr="00C85E12">
              <w:rPr>
                <w:rFonts w:asciiTheme="majorHAnsi" w:hAnsiTheme="majorHAnsi"/>
                <w:sz w:val="22"/>
                <w:szCs w:val="22"/>
              </w:rPr>
              <w:t xml:space="preserve">(including program income, if any) </w:t>
            </w:r>
            <w:r w:rsidRPr="00C85E12">
              <w:rPr>
                <w:rFonts w:asciiTheme="majorHAnsi" w:hAnsiTheme="majorHAnsi"/>
                <w:sz w:val="22"/>
                <w:szCs w:val="22"/>
              </w:rPr>
              <w:t xml:space="preserve">of each line item within each object class category from the </w:t>
            </w:r>
            <w:r w:rsidR="004627BF">
              <w:rPr>
                <w:rFonts w:asciiTheme="majorHAnsi" w:hAnsiTheme="majorHAnsi"/>
                <w:sz w:val="22"/>
                <w:szCs w:val="22"/>
              </w:rPr>
              <w:t>f</w:t>
            </w:r>
            <w:r w:rsidRPr="00C85E12">
              <w:rPr>
                <w:rFonts w:asciiTheme="majorHAnsi" w:hAnsiTheme="majorHAnsi"/>
                <w:sz w:val="22"/>
                <w:szCs w:val="22"/>
              </w:rPr>
              <w:t xml:space="preserve">ederal Object Class Categories form, and explain how each cost contributes to meeting the </w:t>
            </w:r>
            <w:r w:rsidR="005A022D" w:rsidRPr="00C85E12">
              <w:rPr>
                <w:rFonts w:asciiTheme="majorHAnsi" w:hAnsiTheme="majorHAnsi"/>
                <w:bCs/>
                <w:sz w:val="22"/>
                <w:szCs w:val="22"/>
              </w:rPr>
              <w:t xml:space="preserve">FY 2016 </w:t>
            </w:r>
            <w:r w:rsidRPr="00C85E12">
              <w:rPr>
                <w:rFonts w:asciiTheme="majorHAnsi" w:hAnsiTheme="majorHAnsi"/>
                <w:sz w:val="22"/>
                <w:szCs w:val="22"/>
              </w:rPr>
              <w:t xml:space="preserve">PCMH funding purpose.  See </w:t>
            </w:r>
            <w:hyperlink w:anchor="_Appendix_B:_Instructions" w:history="1">
              <w:r w:rsidRPr="00C85E12">
                <w:rPr>
                  <w:rStyle w:val="Hyperlink"/>
                  <w:rFonts w:asciiTheme="majorHAnsi" w:hAnsiTheme="majorHAnsi" w:cstheme="minorBidi"/>
                  <w:sz w:val="22"/>
                  <w:szCs w:val="22"/>
                </w:rPr>
                <w:t>Appendix B</w:t>
              </w:r>
            </w:hyperlink>
            <w:r w:rsidRPr="00C85E12">
              <w:rPr>
                <w:rFonts w:asciiTheme="majorHAnsi" w:hAnsiTheme="majorHAnsi"/>
                <w:sz w:val="22"/>
                <w:szCs w:val="22"/>
              </w:rPr>
              <w:t xml:space="preserve"> for additional instruction</w:t>
            </w:r>
            <w:r w:rsidR="004627BF">
              <w:rPr>
                <w:rFonts w:asciiTheme="majorHAnsi" w:hAnsiTheme="majorHAnsi"/>
                <w:sz w:val="22"/>
                <w:szCs w:val="22"/>
              </w:rPr>
              <w:t>s</w:t>
            </w:r>
            <w:r w:rsidRPr="00C85E12">
              <w:rPr>
                <w:rFonts w:asciiTheme="majorHAnsi" w:hAnsiTheme="majorHAnsi"/>
                <w:sz w:val="22"/>
                <w:szCs w:val="22"/>
              </w:rPr>
              <w:t>.</w:t>
            </w:r>
          </w:p>
        </w:tc>
      </w:tr>
      <w:tr w:rsidR="00EE33E3" w:rsidRPr="00C85E12" w:rsidTr="00D23415">
        <w:trPr>
          <w:trHeight w:val="173"/>
        </w:trPr>
        <w:tc>
          <w:tcPr>
            <w:tcW w:w="9270" w:type="dxa"/>
            <w:shd w:val="clear" w:color="auto" w:fill="D9D9D9" w:themeFill="background1" w:themeFillShade="D9"/>
          </w:tcPr>
          <w:p w:rsidR="00EE33E3" w:rsidRPr="00C85E12" w:rsidRDefault="00EE33E3" w:rsidP="002D0F24">
            <w:pPr>
              <w:rPr>
                <w:rFonts w:asciiTheme="majorHAnsi" w:hAnsiTheme="majorHAnsi"/>
                <w:sz w:val="22"/>
                <w:szCs w:val="22"/>
              </w:rPr>
            </w:pPr>
            <w:r w:rsidRPr="00C85E12">
              <w:rPr>
                <w:rFonts w:asciiTheme="majorHAnsi" w:hAnsiTheme="majorHAnsi"/>
                <w:b/>
                <w:sz w:val="22"/>
                <w:szCs w:val="22"/>
              </w:rPr>
              <w:t>Equipment List Form (as applicable)</w:t>
            </w:r>
          </w:p>
        </w:tc>
      </w:tr>
      <w:tr w:rsidR="00EE33E3" w:rsidRPr="00C85E12" w:rsidTr="00D23415">
        <w:trPr>
          <w:trHeight w:val="173"/>
        </w:trPr>
        <w:tc>
          <w:tcPr>
            <w:tcW w:w="9270" w:type="dxa"/>
            <w:tcBorders>
              <w:bottom w:val="single" w:sz="4" w:space="0" w:color="auto"/>
            </w:tcBorders>
          </w:tcPr>
          <w:p w:rsidR="00EE33E3" w:rsidRPr="00C85E12" w:rsidRDefault="00050058" w:rsidP="002D0F24">
            <w:pPr>
              <w:rPr>
                <w:rFonts w:asciiTheme="majorHAnsi" w:hAnsiTheme="majorHAnsi"/>
                <w:sz w:val="22"/>
                <w:szCs w:val="22"/>
              </w:rPr>
            </w:pPr>
            <w:r w:rsidRPr="00C85E12">
              <w:rPr>
                <w:rFonts w:asciiTheme="majorHAnsi" w:hAnsiTheme="majorHAnsi"/>
                <w:sz w:val="22"/>
                <w:szCs w:val="22"/>
              </w:rPr>
              <w:t>Proposals</w:t>
            </w:r>
            <w:r w:rsidR="00EE33E3" w:rsidRPr="00C85E12">
              <w:rPr>
                <w:rFonts w:asciiTheme="majorHAnsi" w:hAnsiTheme="majorHAnsi"/>
                <w:sz w:val="22"/>
                <w:szCs w:val="22"/>
              </w:rPr>
              <w:t xml:space="preserve"> that include equipment costs must include an Equipment List form.  Federal Equipment is defined</w:t>
            </w:r>
            <w:r w:rsidR="001A7C2C">
              <w:rPr>
                <w:rFonts w:asciiTheme="majorHAnsi" w:hAnsiTheme="majorHAnsi"/>
                <w:sz w:val="22"/>
                <w:szCs w:val="22"/>
              </w:rPr>
              <w:t xml:space="preserve"> as</w:t>
            </w:r>
            <w:r w:rsidR="00EE33E3" w:rsidRPr="00C85E12">
              <w:rPr>
                <w:rFonts w:asciiTheme="majorHAnsi" w:hAnsiTheme="majorHAnsi"/>
                <w:sz w:val="22"/>
                <w:szCs w:val="22"/>
              </w:rPr>
              <w:t xml:space="preserve"> </w:t>
            </w:r>
            <w:r w:rsidR="00F44693" w:rsidRPr="00C85E12">
              <w:rPr>
                <w:rFonts w:asciiTheme="majorHAnsi" w:hAnsiTheme="majorHAnsi"/>
                <w:sz w:val="22"/>
                <w:szCs w:val="22"/>
              </w:rPr>
              <w:t>tangible personal property (including information technology systems) having a useful life of more than one year and a per-unit acquisition cost which equals or exceeds the lesser of the capitalization level established by the non-</w:t>
            </w:r>
            <w:r w:rsidR="004627BF">
              <w:rPr>
                <w:rFonts w:asciiTheme="majorHAnsi" w:hAnsiTheme="majorHAnsi"/>
                <w:sz w:val="22"/>
                <w:szCs w:val="22"/>
              </w:rPr>
              <w:t>f</w:t>
            </w:r>
            <w:r w:rsidR="00F44693" w:rsidRPr="00C85E12">
              <w:rPr>
                <w:rFonts w:asciiTheme="majorHAnsi" w:hAnsiTheme="majorHAnsi"/>
                <w:sz w:val="22"/>
                <w:szCs w:val="22"/>
              </w:rPr>
              <w:t>ederal entity for financial statement purposes, or $5,000.</w:t>
            </w:r>
          </w:p>
        </w:tc>
      </w:tr>
      <w:tr w:rsidR="005C62C4" w:rsidRPr="00C85E12" w:rsidTr="00D23415">
        <w:trPr>
          <w:trHeight w:val="173"/>
        </w:trPr>
        <w:tc>
          <w:tcPr>
            <w:tcW w:w="9270" w:type="dxa"/>
            <w:shd w:val="clear" w:color="auto" w:fill="D9D9D9" w:themeFill="background1" w:themeFillShade="D9"/>
          </w:tcPr>
          <w:p w:rsidR="005C62C4" w:rsidRPr="00C85E12" w:rsidRDefault="005C62C4" w:rsidP="002D0F24">
            <w:pPr>
              <w:keepNext/>
              <w:rPr>
                <w:rFonts w:asciiTheme="majorHAnsi" w:hAnsiTheme="majorHAnsi"/>
                <w:b/>
                <w:sz w:val="22"/>
                <w:szCs w:val="22"/>
              </w:rPr>
            </w:pPr>
            <w:r w:rsidRPr="00C85E12">
              <w:rPr>
                <w:rFonts w:asciiTheme="majorHAnsi" w:hAnsiTheme="majorHAnsi"/>
                <w:sz w:val="22"/>
                <w:szCs w:val="22"/>
              </w:rPr>
              <w:br w:type="page"/>
            </w:r>
            <w:r w:rsidRPr="00C85E12">
              <w:rPr>
                <w:rFonts w:asciiTheme="majorHAnsi" w:hAnsiTheme="majorHAnsi"/>
                <w:b/>
                <w:sz w:val="22"/>
                <w:szCs w:val="22"/>
              </w:rPr>
              <w:t>Project Overview Form</w:t>
            </w:r>
          </w:p>
        </w:tc>
      </w:tr>
      <w:tr w:rsidR="005C62C4" w:rsidRPr="00C85E12" w:rsidTr="00D23415">
        <w:trPr>
          <w:trHeight w:val="173"/>
        </w:trPr>
        <w:tc>
          <w:tcPr>
            <w:tcW w:w="9270" w:type="dxa"/>
            <w:tcBorders>
              <w:bottom w:val="single" w:sz="4" w:space="0" w:color="auto"/>
            </w:tcBorders>
          </w:tcPr>
          <w:p w:rsidR="00B1709A" w:rsidRPr="00C85E12" w:rsidRDefault="00233BC4" w:rsidP="002D0F24">
            <w:pPr>
              <w:rPr>
                <w:rFonts w:asciiTheme="majorHAnsi" w:hAnsiTheme="majorHAnsi"/>
                <w:sz w:val="22"/>
                <w:szCs w:val="22"/>
                <w:u w:val="single"/>
              </w:rPr>
            </w:pPr>
            <w:r>
              <w:rPr>
                <w:rFonts w:asciiTheme="majorHAnsi" w:hAnsiTheme="majorHAnsi"/>
                <w:sz w:val="22"/>
                <w:szCs w:val="22"/>
                <w:u w:val="single"/>
              </w:rPr>
              <w:t>Expected Impact</w:t>
            </w:r>
          </w:p>
          <w:p w:rsidR="00B1709A" w:rsidRPr="00C85E12" w:rsidRDefault="00B1709A" w:rsidP="002D0F24">
            <w:pPr>
              <w:rPr>
                <w:rFonts w:asciiTheme="majorHAnsi" w:hAnsiTheme="majorHAnsi"/>
                <w:sz w:val="22"/>
                <w:szCs w:val="22"/>
              </w:rPr>
            </w:pPr>
            <w:r w:rsidRPr="00C85E12">
              <w:rPr>
                <w:rFonts w:asciiTheme="majorHAnsi" w:hAnsiTheme="majorHAnsi"/>
                <w:sz w:val="22"/>
                <w:szCs w:val="22"/>
              </w:rPr>
              <w:t>Indicate the proposed use</w:t>
            </w:r>
            <w:r w:rsidR="00061A94">
              <w:rPr>
                <w:rFonts w:asciiTheme="majorHAnsi" w:hAnsiTheme="majorHAnsi"/>
                <w:sz w:val="22"/>
                <w:szCs w:val="22"/>
              </w:rPr>
              <w:t>(</w:t>
            </w:r>
            <w:r w:rsidRPr="00C85E12">
              <w:rPr>
                <w:rFonts w:asciiTheme="majorHAnsi" w:hAnsiTheme="majorHAnsi"/>
                <w:sz w:val="22"/>
                <w:szCs w:val="22"/>
              </w:rPr>
              <w:t>s</w:t>
            </w:r>
            <w:r w:rsidR="00061A94">
              <w:rPr>
                <w:rFonts w:asciiTheme="majorHAnsi" w:hAnsiTheme="majorHAnsi"/>
                <w:sz w:val="22"/>
                <w:szCs w:val="22"/>
              </w:rPr>
              <w:t>)</w:t>
            </w:r>
            <w:r w:rsidRPr="00C85E12">
              <w:rPr>
                <w:rFonts w:asciiTheme="majorHAnsi" w:hAnsiTheme="majorHAnsi"/>
                <w:sz w:val="22"/>
                <w:szCs w:val="22"/>
              </w:rPr>
              <w:t xml:space="preserve"> of </w:t>
            </w:r>
            <w:r w:rsidR="005A022D" w:rsidRPr="00C85E12">
              <w:rPr>
                <w:rFonts w:asciiTheme="majorHAnsi" w:hAnsiTheme="majorHAnsi"/>
                <w:bCs/>
                <w:sz w:val="22"/>
                <w:szCs w:val="22"/>
              </w:rPr>
              <w:t xml:space="preserve">FY 2016 </w:t>
            </w:r>
            <w:r w:rsidRPr="00C85E12">
              <w:rPr>
                <w:rFonts w:asciiTheme="majorHAnsi" w:hAnsiTheme="majorHAnsi"/>
                <w:sz w:val="22"/>
                <w:szCs w:val="22"/>
              </w:rPr>
              <w:t>PCMH funding and the number of sites to be impacted.</w:t>
            </w:r>
            <w:r w:rsidR="00D23415">
              <w:rPr>
                <w:rFonts w:asciiTheme="majorHAnsi" w:hAnsiTheme="majorHAnsi"/>
                <w:sz w:val="22"/>
                <w:szCs w:val="22"/>
              </w:rPr>
              <w:t xml:space="preserve"> </w:t>
            </w:r>
          </w:p>
          <w:p w:rsidR="00474DF0" w:rsidRPr="00C85E12" w:rsidRDefault="00474DF0" w:rsidP="002D0F24">
            <w:pPr>
              <w:rPr>
                <w:rFonts w:asciiTheme="majorHAnsi" w:hAnsiTheme="majorHAnsi"/>
                <w:sz w:val="22"/>
                <w:szCs w:val="22"/>
                <w:u w:val="single"/>
              </w:rPr>
            </w:pPr>
          </w:p>
          <w:p w:rsidR="00B1709A" w:rsidRPr="00C85E12" w:rsidRDefault="00B1709A" w:rsidP="002D0F24">
            <w:pPr>
              <w:rPr>
                <w:rFonts w:asciiTheme="majorHAnsi" w:hAnsiTheme="majorHAnsi"/>
                <w:sz w:val="22"/>
                <w:szCs w:val="22"/>
                <w:u w:val="single"/>
              </w:rPr>
            </w:pPr>
            <w:r w:rsidRPr="00C85E12">
              <w:rPr>
                <w:rFonts w:asciiTheme="majorHAnsi" w:hAnsiTheme="majorHAnsi"/>
                <w:sz w:val="22"/>
                <w:szCs w:val="22"/>
                <w:u w:val="single"/>
              </w:rPr>
              <w:t>PCMH Core Functions</w:t>
            </w:r>
            <w:r w:rsidR="00173F88">
              <w:rPr>
                <w:rFonts w:asciiTheme="majorHAnsi" w:hAnsiTheme="majorHAnsi"/>
                <w:sz w:val="22"/>
                <w:szCs w:val="22"/>
                <w:u w:val="single"/>
              </w:rPr>
              <w:t xml:space="preserve"> and Attributes</w:t>
            </w:r>
          </w:p>
          <w:p w:rsidR="00B1709A" w:rsidRPr="00C85E12" w:rsidRDefault="00B1709A" w:rsidP="002D0F24">
            <w:pPr>
              <w:rPr>
                <w:rFonts w:asciiTheme="majorHAnsi" w:hAnsiTheme="majorHAnsi"/>
                <w:sz w:val="22"/>
                <w:szCs w:val="22"/>
              </w:rPr>
            </w:pPr>
            <w:r w:rsidRPr="00C85E12">
              <w:rPr>
                <w:rFonts w:asciiTheme="majorHAnsi" w:hAnsiTheme="majorHAnsi"/>
                <w:sz w:val="22"/>
                <w:szCs w:val="22"/>
              </w:rPr>
              <w:t>Select the PCMH Core Functions and Attributes that will be enhanced via this funding</w:t>
            </w:r>
            <w:r w:rsidR="00D34453" w:rsidRPr="00C85E12">
              <w:rPr>
                <w:rFonts w:asciiTheme="majorHAnsi" w:hAnsiTheme="majorHAnsi"/>
                <w:sz w:val="22"/>
                <w:szCs w:val="22"/>
              </w:rPr>
              <w:t>, as</w:t>
            </w:r>
            <w:r w:rsidRPr="00C85E12">
              <w:rPr>
                <w:rFonts w:asciiTheme="majorHAnsi" w:hAnsiTheme="majorHAnsi"/>
                <w:sz w:val="22"/>
                <w:szCs w:val="22"/>
              </w:rPr>
              <w:t xml:space="preserve"> defined by </w:t>
            </w:r>
            <w:r w:rsidR="00D34453" w:rsidRPr="00C85E12">
              <w:rPr>
                <w:rFonts w:asciiTheme="majorHAnsi" w:hAnsiTheme="majorHAnsi"/>
                <w:sz w:val="22"/>
                <w:szCs w:val="22"/>
              </w:rPr>
              <w:t xml:space="preserve">the </w:t>
            </w:r>
            <w:r w:rsidRPr="00C85E12">
              <w:rPr>
                <w:rFonts w:asciiTheme="majorHAnsi" w:hAnsiTheme="majorHAnsi"/>
                <w:sz w:val="22"/>
                <w:szCs w:val="22"/>
              </w:rPr>
              <w:t xml:space="preserve">Agency for Healthcare Research and Quality (AHRQ). For additional information, visit: </w:t>
            </w:r>
            <w:hyperlink r:id="rId30" w:tooltip="PCMH Core Functions and Attributes" w:history="1">
              <w:r w:rsidRPr="00C85E12">
                <w:rPr>
                  <w:rStyle w:val="Hyperlink"/>
                  <w:rFonts w:asciiTheme="majorHAnsi" w:hAnsiTheme="majorHAnsi"/>
                  <w:sz w:val="22"/>
                  <w:szCs w:val="22"/>
                </w:rPr>
                <w:t>https://pcmh.ahrq.gov/page/defining-pcmh</w:t>
              </w:r>
            </w:hyperlink>
            <w:r w:rsidRPr="00C85E12">
              <w:rPr>
                <w:rFonts w:asciiTheme="majorHAnsi" w:hAnsiTheme="majorHAnsi"/>
                <w:sz w:val="22"/>
                <w:szCs w:val="22"/>
              </w:rPr>
              <w:t xml:space="preserve">. </w:t>
            </w:r>
          </w:p>
          <w:p w:rsidR="00B1709A" w:rsidRPr="00C85E12" w:rsidRDefault="00B1709A" w:rsidP="002D0F24">
            <w:pPr>
              <w:rPr>
                <w:rFonts w:asciiTheme="majorHAnsi" w:hAnsiTheme="majorHAnsi"/>
                <w:sz w:val="22"/>
                <w:szCs w:val="22"/>
              </w:rPr>
            </w:pPr>
          </w:p>
          <w:p w:rsidR="00B1709A" w:rsidRPr="00C85E12" w:rsidRDefault="00B1709A" w:rsidP="002D0F24">
            <w:pPr>
              <w:rPr>
                <w:rFonts w:asciiTheme="majorHAnsi" w:hAnsiTheme="majorHAnsi"/>
                <w:sz w:val="22"/>
                <w:szCs w:val="22"/>
                <w:u w:val="single"/>
              </w:rPr>
            </w:pPr>
            <w:r w:rsidRPr="00C85E12">
              <w:rPr>
                <w:rFonts w:asciiTheme="majorHAnsi" w:hAnsiTheme="majorHAnsi"/>
                <w:sz w:val="22"/>
                <w:szCs w:val="22"/>
                <w:u w:val="single"/>
              </w:rPr>
              <w:t>Project Narrative</w:t>
            </w:r>
          </w:p>
          <w:p w:rsidR="00B1709A" w:rsidRPr="00C85E12" w:rsidRDefault="00B1709A" w:rsidP="002D0F24">
            <w:pPr>
              <w:rPr>
                <w:rFonts w:asciiTheme="majorHAnsi" w:hAnsiTheme="majorHAnsi"/>
                <w:sz w:val="22"/>
                <w:szCs w:val="22"/>
              </w:rPr>
            </w:pPr>
            <w:r w:rsidRPr="00C85E12">
              <w:rPr>
                <w:rFonts w:asciiTheme="majorHAnsi" w:hAnsiTheme="majorHAnsi"/>
                <w:sz w:val="22"/>
                <w:szCs w:val="22"/>
              </w:rPr>
              <w:t>Provide a detailed narrative response to each question</w:t>
            </w:r>
            <w:r w:rsidR="00061A94">
              <w:rPr>
                <w:rFonts w:asciiTheme="majorHAnsi" w:hAnsiTheme="majorHAnsi"/>
                <w:sz w:val="22"/>
                <w:szCs w:val="22"/>
              </w:rPr>
              <w:t xml:space="preserve"> (m</w:t>
            </w:r>
            <w:r w:rsidRPr="00C85E12">
              <w:rPr>
                <w:rFonts w:asciiTheme="majorHAnsi" w:hAnsiTheme="majorHAnsi"/>
                <w:sz w:val="22"/>
                <w:szCs w:val="22"/>
              </w:rPr>
              <w:t>aximum 1,</w:t>
            </w:r>
            <w:r w:rsidR="00DE3785" w:rsidRPr="00C85E12">
              <w:rPr>
                <w:rFonts w:asciiTheme="majorHAnsi" w:hAnsiTheme="majorHAnsi"/>
                <w:sz w:val="22"/>
                <w:szCs w:val="22"/>
              </w:rPr>
              <w:t>5</w:t>
            </w:r>
            <w:r w:rsidRPr="00C85E12">
              <w:rPr>
                <w:rFonts w:asciiTheme="majorHAnsi" w:hAnsiTheme="majorHAnsi"/>
                <w:sz w:val="22"/>
                <w:szCs w:val="22"/>
              </w:rPr>
              <w:t>00 characters each</w:t>
            </w:r>
            <w:r w:rsidR="00061A94">
              <w:rPr>
                <w:rFonts w:asciiTheme="majorHAnsi" w:hAnsiTheme="majorHAnsi"/>
                <w:sz w:val="22"/>
                <w:szCs w:val="22"/>
              </w:rPr>
              <w:t>)</w:t>
            </w:r>
            <w:r w:rsidRPr="00C85E12">
              <w:rPr>
                <w:rFonts w:asciiTheme="majorHAnsi" w:hAnsiTheme="majorHAnsi"/>
                <w:sz w:val="22"/>
                <w:szCs w:val="22"/>
              </w:rPr>
              <w:t xml:space="preserve">.  </w:t>
            </w:r>
          </w:p>
          <w:p w:rsidR="00B1709A" w:rsidRPr="00C85E12" w:rsidRDefault="00B1709A" w:rsidP="002D0F24">
            <w:pPr>
              <w:pStyle w:val="ListParagraph"/>
              <w:numPr>
                <w:ilvl w:val="0"/>
                <w:numId w:val="22"/>
              </w:numPr>
              <w:rPr>
                <w:rFonts w:asciiTheme="majorHAnsi" w:hAnsiTheme="majorHAnsi"/>
                <w:sz w:val="22"/>
                <w:szCs w:val="22"/>
              </w:rPr>
            </w:pPr>
            <w:r w:rsidRPr="00C85E12">
              <w:rPr>
                <w:rFonts w:asciiTheme="majorHAnsi" w:hAnsiTheme="majorHAnsi"/>
                <w:sz w:val="22"/>
                <w:szCs w:val="22"/>
              </w:rPr>
              <w:t>Describe the planned activities and how they will achieve the proposed outcome(s)</w:t>
            </w:r>
            <w:r w:rsidR="001A7C2C">
              <w:rPr>
                <w:rFonts w:asciiTheme="majorHAnsi" w:hAnsiTheme="majorHAnsi"/>
                <w:sz w:val="22"/>
                <w:szCs w:val="22"/>
              </w:rPr>
              <w:t xml:space="preserve"> noted in the Expected Impact section</w:t>
            </w:r>
            <w:r w:rsidRPr="00C85E12">
              <w:rPr>
                <w:rFonts w:asciiTheme="majorHAnsi" w:hAnsiTheme="majorHAnsi"/>
                <w:sz w:val="22"/>
                <w:szCs w:val="22"/>
              </w:rPr>
              <w:t>.</w:t>
            </w:r>
          </w:p>
          <w:p w:rsidR="00B1709A" w:rsidRPr="00C85E12" w:rsidRDefault="00B1709A" w:rsidP="00233BC4">
            <w:pPr>
              <w:pStyle w:val="ListParagraph"/>
              <w:numPr>
                <w:ilvl w:val="0"/>
                <w:numId w:val="22"/>
              </w:numPr>
              <w:rPr>
                <w:rFonts w:asciiTheme="majorHAnsi" w:hAnsiTheme="majorHAnsi"/>
                <w:sz w:val="22"/>
                <w:szCs w:val="22"/>
              </w:rPr>
            </w:pPr>
            <w:r w:rsidRPr="00C85E12">
              <w:rPr>
                <w:rFonts w:asciiTheme="majorHAnsi" w:hAnsiTheme="majorHAnsi"/>
                <w:sz w:val="22"/>
                <w:szCs w:val="22"/>
              </w:rPr>
              <w:t xml:space="preserve">Describe a realistic timeline that details the implementation steps for the activities outlined in response to Question 1 above.  The timeline must show that all </w:t>
            </w:r>
            <w:r w:rsidR="005A022D" w:rsidRPr="00C85E12">
              <w:rPr>
                <w:rFonts w:asciiTheme="majorHAnsi" w:hAnsiTheme="majorHAnsi"/>
                <w:bCs/>
                <w:sz w:val="22"/>
                <w:szCs w:val="22"/>
              </w:rPr>
              <w:t xml:space="preserve">FY 2016 </w:t>
            </w:r>
            <w:r w:rsidRPr="00C85E12">
              <w:rPr>
                <w:rFonts w:asciiTheme="majorHAnsi" w:hAnsiTheme="majorHAnsi"/>
                <w:sz w:val="22"/>
                <w:szCs w:val="22"/>
              </w:rPr>
              <w:t xml:space="preserve">PCMH supplemental funds will be expended within </w:t>
            </w:r>
            <w:r w:rsidR="00233BC4">
              <w:rPr>
                <w:rFonts w:asciiTheme="majorHAnsi" w:hAnsiTheme="majorHAnsi"/>
                <w:sz w:val="22"/>
                <w:szCs w:val="22"/>
              </w:rPr>
              <w:t>12 months</w:t>
            </w:r>
            <w:r w:rsidR="00C85E12" w:rsidRPr="00C85E12">
              <w:rPr>
                <w:rFonts w:asciiTheme="majorHAnsi" w:hAnsiTheme="majorHAnsi"/>
                <w:sz w:val="22"/>
                <w:szCs w:val="22"/>
              </w:rPr>
              <w:t xml:space="preserve"> of award</w:t>
            </w:r>
            <w:r w:rsidRPr="00C85E12">
              <w:rPr>
                <w:rFonts w:asciiTheme="majorHAnsi" w:hAnsiTheme="majorHAnsi"/>
                <w:sz w:val="22"/>
                <w:szCs w:val="22"/>
              </w:rPr>
              <w:t>.</w:t>
            </w:r>
          </w:p>
        </w:tc>
      </w:tr>
    </w:tbl>
    <w:p w:rsidR="00DE33ED" w:rsidRPr="002B4866" w:rsidRDefault="00DE33ED" w:rsidP="002D0F24">
      <w:pPr>
        <w:pStyle w:val="Heading1"/>
        <w:spacing w:before="0"/>
        <w:jc w:val="center"/>
      </w:pPr>
      <w:bookmarkStart w:id="18" w:name="_Appendix_B:_Instructions"/>
      <w:bookmarkStart w:id="19" w:name="Appendix_B"/>
      <w:bookmarkStart w:id="20" w:name="_Toc449951380"/>
      <w:bookmarkEnd w:id="18"/>
      <w:r w:rsidRPr="002B4866">
        <w:t>Appendix B</w:t>
      </w:r>
      <w:bookmarkEnd w:id="19"/>
      <w:r w:rsidRPr="002B4866">
        <w:t>: Instructions for Completing the Budget Justification Narrative</w:t>
      </w:r>
      <w:bookmarkEnd w:id="20"/>
    </w:p>
    <w:p w:rsidR="00DE33ED" w:rsidRPr="002B4866" w:rsidRDefault="00DE33ED" w:rsidP="002D0F24">
      <w:pPr>
        <w:rPr>
          <w:rFonts w:asciiTheme="majorHAnsi" w:hAnsiTheme="majorHAnsi"/>
        </w:rPr>
      </w:pPr>
    </w:p>
    <w:p w:rsidR="00DE33ED" w:rsidRPr="002B4866" w:rsidRDefault="00DE33ED" w:rsidP="002D0F24">
      <w:pPr>
        <w:rPr>
          <w:rFonts w:asciiTheme="majorHAnsi" w:hAnsiTheme="majorHAnsi"/>
        </w:rPr>
      </w:pPr>
      <w:r w:rsidRPr="002B4866">
        <w:rPr>
          <w:rFonts w:asciiTheme="majorHAnsi" w:hAnsiTheme="majorHAnsi"/>
        </w:rPr>
        <w:t xml:space="preserve">Applicants must provide </w:t>
      </w:r>
      <w:r w:rsidRPr="00317C48">
        <w:rPr>
          <w:rFonts w:asciiTheme="majorHAnsi" w:hAnsiTheme="majorHAnsi"/>
        </w:rPr>
        <w:t xml:space="preserve">a </w:t>
      </w:r>
      <w:r w:rsidR="00233BC4">
        <w:rPr>
          <w:rFonts w:asciiTheme="majorHAnsi" w:hAnsiTheme="majorHAnsi"/>
        </w:rPr>
        <w:t>12 month</w:t>
      </w:r>
      <w:r w:rsidR="00BA5D7B">
        <w:rPr>
          <w:rFonts w:asciiTheme="majorHAnsi" w:hAnsiTheme="majorHAnsi"/>
        </w:rPr>
        <w:t xml:space="preserve"> B</w:t>
      </w:r>
      <w:r w:rsidRPr="002B4866">
        <w:rPr>
          <w:rFonts w:asciiTheme="majorHAnsi" w:hAnsiTheme="majorHAnsi"/>
        </w:rPr>
        <w:t xml:space="preserve">udget </w:t>
      </w:r>
      <w:r w:rsidR="00BA5D7B">
        <w:rPr>
          <w:rFonts w:asciiTheme="majorHAnsi" w:hAnsiTheme="majorHAnsi"/>
        </w:rPr>
        <w:t>Justification N</w:t>
      </w:r>
      <w:r w:rsidRPr="002B4866">
        <w:rPr>
          <w:rFonts w:asciiTheme="majorHAnsi" w:hAnsiTheme="majorHAnsi"/>
        </w:rPr>
        <w:t>arrative that explains the amounts requested for each line item in the Federal Object Class Categories Form.  The Budget Justification Narrative must contain sufficient detail to enable HRSA to determine if costs are allowable</w:t>
      </w:r>
      <w:r w:rsidR="00AC0325">
        <w:rPr>
          <w:rStyle w:val="FootnoteReference"/>
          <w:rFonts w:asciiTheme="majorHAnsi" w:hAnsiTheme="majorHAnsi"/>
        </w:rPr>
        <w:footnoteReference w:id="8"/>
      </w:r>
      <w:r w:rsidRPr="002B4866">
        <w:rPr>
          <w:rFonts w:asciiTheme="majorHAnsi" w:hAnsiTheme="majorHAnsi"/>
        </w:rPr>
        <w:t xml:space="preserve"> and must outline federal and non-federal </w:t>
      </w:r>
      <w:r w:rsidR="00482907">
        <w:rPr>
          <w:rFonts w:asciiTheme="majorHAnsi" w:hAnsiTheme="majorHAnsi"/>
        </w:rPr>
        <w:t xml:space="preserve">(if any) </w:t>
      </w:r>
      <w:r w:rsidRPr="002B4866">
        <w:rPr>
          <w:rFonts w:asciiTheme="majorHAnsi" w:hAnsiTheme="majorHAnsi"/>
        </w:rPr>
        <w:t xml:space="preserve">costs for each line item.  It is important to </w:t>
      </w:r>
      <w:r w:rsidRPr="002B4866">
        <w:rPr>
          <w:rFonts w:asciiTheme="majorHAnsi" w:hAnsiTheme="majorHAnsi"/>
          <w:b/>
          <w:bCs/>
        </w:rPr>
        <w:t xml:space="preserve">ensure that the Budget Justification Narrative contains detailed calculations explaining how each line-item expense is derived </w:t>
      </w:r>
      <w:r w:rsidRPr="002B4866">
        <w:rPr>
          <w:rFonts w:asciiTheme="majorHAnsi" w:hAnsiTheme="majorHAnsi"/>
        </w:rPr>
        <w:t xml:space="preserve">(e.g., cost per unit).  </w:t>
      </w:r>
      <w:r w:rsidR="005A022D">
        <w:rPr>
          <w:rFonts w:asciiTheme="majorHAnsi" w:hAnsiTheme="majorHAnsi"/>
          <w:bCs/>
        </w:rPr>
        <w:t xml:space="preserve">FY 2016 </w:t>
      </w:r>
      <w:r w:rsidRPr="002B4866">
        <w:rPr>
          <w:rFonts w:asciiTheme="majorHAnsi" w:hAnsiTheme="majorHAnsi"/>
        </w:rPr>
        <w:t>PCMH supplemental funding may not be used to support costs incurred prior to award</w:t>
      </w:r>
      <w:r w:rsidR="002134CF">
        <w:rPr>
          <w:rFonts w:asciiTheme="majorHAnsi" w:hAnsiTheme="majorHAnsi"/>
        </w:rPr>
        <w:t xml:space="preserve">, costs that are covered by the </w:t>
      </w:r>
      <w:hyperlink w:anchor="HRSAPCMHInitiative" w:history="1">
        <w:r w:rsidR="002134CF" w:rsidRPr="00EB4446">
          <w:rPr>
            <w:rStyle w:val="Hyperlink"/>
            <w:rFonts w:asciiTheme="majorHAnsi" w:hAnsiTheme="majorHAnsi" w:cstheme="minorBidi"/>
          </w:rPr>
          <w:t>HRSA Accreditation and PCMH Recognition Initiative</w:t>
        </w:r>
      </w:hyperlink>
      <w:r w:rsidR="00482907">
        <w:rPr>
          <w:rFonts w:asciiTheme="majorHAnsi" w:hAnsiTheme="majorHAnsi"/>
        </w:rPr>
        <w:t xml:space="preserve"> or to supplant existing funding sources</w:t>
      </w:r>
      <w:r w:rsidRPr="002B4866">
        <w:rPr>
          <w:rFonts w:asciiTheme="majorHAnsi" w:hAnsiTheme="majorHAnsi"/>
        </w:rPr>
        <w:t>.</w:t>
      </w:r>
      <w:r w:rsidRPr="002B4866" w:rsidDel="008A32DA">
        <w:rPr>
          <w:rFonts w:asciiTheme="majorHAnsi" w:hAnsiTheme="majorHAnsi"/>
        </w:rPr>
        <w:t xml:space="preserve"> </w:t>
      </w:r>
    </w:p>
    <w:p w:rsidR="00DE33ED" w:rsidRPr="002B4866" w:rsidRDefault="00DE33ED" w:rsidP="002D0F24">
      <w:pPr>
        <w:rPr>
          <w:rFonts w:asciiTheme="majorHAnsi" w:hAnsiTheme="majorHAnsi"/>
        </w:rPr>
      </w:pP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Caption w:val="Completing the Budget Justification"/>
      </w:tblPr>
      <w:tblGrid>
        <w:gridCol w:w="1780"/>
        <w:gridCol w:w="8037"/>
      </w:tblGrid>
      <w:tr w:rsidR="00DE33ED" w:rsidRPr="002B4866" w:rsidTr="00D27465">
        <w:trPr>
          <w:cantSplit/>
          <w:tblHeader/>
        </w:trPr>
        <w:tc>
          <w:tcPr>
            <w:tcW w:w="1780" w:type="dxa"/>
            <w:shd w:val="clear" w:color="auto" w:fill="D9D9D9" w:themeFill="background1" w:themeFillShade="D9"/>
            <w:vAlign w:val="bottom"/>
          </w:tcPr>
          <w:p w:rsidR="00DE33ED" w:rsidRPr="002B4866" w:rsidRDefault="00DE33ED" w:rsidP="002D0F24">
            <w:pPr>
              <w:rPr>
                <w:rFonts w:asciiTheme="majorHAnsi" w:hAnsiTheme="majorHAnsi"/>
                <w:b/>
              </w:rPr>
            </w:pPr>
            <w:r w:rsidRPr="002B4866">
              <w:rPr>
                <w:rFonts w:asciiTheme="majorHAnsi" w:hAnsiTheme="majorHAnsi"/>
                <w:b/>
              </w:rPr>
              <w:t>Cost Category</w:t>
            </w:r>
          </w:p>
        </w:tc>
        <w:tc>
          <w:tcPr>
            <w:tcW w:w="8037" w:type="dxa"/>
            <w:shd w:val="clear" w:color="auto" w:fill="D9D9D9" w:themeFill="background1" w:themeFillShade="D9"/>
            <w:vAlign w:val="bottom"/>
          </w:tcPr>
          <w:p w:rsidR="00DE33ED" w:rsidRPr="002B4866" w:rsidRDefault="00DE33ED" w:rsidP="002D0F24">
            <w:pPr>
              <w:rPr>
                <w:rFonts w:asciiTheme="majorHAnsi" w:hAnsiTheme="majorHAnsi"/>
                <w:b/>
              </w:rPr>
            </w:pPr>
            <w:r w:rsidRPr="002B4866">
              <w:rPr>
                <w:rFonts w:asciiTheme="majorHAnsi" w:hAnsiTheme="majorHAnsi"/>
                <w:b/>
              </w:rPr>
              <w:t>Budget Presentation Description</w:t>
            </w:r>
          </w:p>
        </w:tc>
      </w:tr>
      <w:tr w:rsidR="00DE33ED" w:rsidRPr="002B4866" w:rsidTr="00D27465">
        <w:trPr>
          <w:cantSplit/>
          <w:trHeight w:val="1052"/>
        </w:trPr>
        <w:tc>
          <w:tcPr>
            <w:tcW w:w="1780" w:type="dxa"/>
          </w:tcPr>
          <w:p w:rsidR="00DE33ED" w:rsidRPr="002B4866" w:rsidRDefault="00DE33ED" w:rsidP="002D0F24">
            <w:pPr>
              <w:rPr>
                <w:rFonts w:asciiTheme="majorHAnsi" w:hAnsiTheme="majorHAnsi"/>
                <w:b/>
              </w:rPr>
            </w:pPr>
            <w:r w:rsidRPr="002B4866">
              <w:rPr>
                <w:rFonts w:asciiTheme="majorHAnsi" w:hAnsiTheme="majorHAnsi"/>
                <w:b/>
              </w:rPr>
              <w:t>Personnel</w:t>
            </w:r>
          </w:p>
        </w:tc>
        <w:tc>
          <w:tcPr>
            <w:tcW w:w="8037" w:type="dxa"/>
          </w:tcPr>
          <w:p w:rsidR="00DE33ED" w:rsidRPr="002B4866" w:rsidRDefault="00DE33ED" w:rsidP="00BA5D7B">
            <w:pPr>
              <w:rPr>
                <w:rFonts w:asciiTheme="majorHAnsi" w:hAnsiTheme="majorHAnsi"/>
              </w:rPr>
            </w:pPr>
            <w:r w:rsidRPr="002B4866">
              <w:rPr>
                <w:rFonts w:asciiTheme="majorHAnsi" w:hAnsiTheme="majorHAnsi"/>
              </w:rPr>
              <w:t xml:space="preserve">List each staff member who will be supported by </w:t>
            </w:r>
            <w:r w:rsidR="00342E98">
              <w:rPr>
                <w:rFonts w:asciiTheme="majorHAnsi" w:hAnsiTheme="majorHAnsi"/>
              </w:rPr>
              <w:t xml:space="preserve">one-time </w:t>
            </w:r>
            <w:r w:rsidR="005A022D">
              <w:rPr>
                <w:rFonts w:asciiTheme="majorHAnsi" w:hAnsiTheme="majorHAnsi"/>
                <w:bCs/>
              </w:rPr>
              <w:t xml:space="preserve">FY 2016 </w:t>
            </w:r>
            <w:r w:rsidRPr="002B4866">
              <w:rPr>
                <w:rFonts w:asciiTheme="majorHAnsi" w:hAnsiTheme="majorHAnsi"/>
              </w:rPr>
              <w:t xml:space="preserve">PCMH funds, name (if possible), position title, percent full time equivalency (FTE), and annual salary. </w:t>
            </w:r>
            <w:r w:rsidRPr="00D1609F">
              <w:rPr>
                <w:rFonts w:asciiTheme="majorHAnsi" w:hAnsiTheme="majorHAnsi"/>
                <w:b/>
              </w:rPr>
              <w:t xml:space="preserve"> The details shown in </w:t>
            </w:r>
            <w:r w:rsidR="00D1609F" w:rsidRPr="00D1609F">
              <w:rPr>
                <w:rFonts w:asciiTheme="majorHAnsi" w:hAnsiTheme="majorHAnsi"/>
                <w:b/>
              </w:rPr>
              <w:t xml:space="preserve">the </w:t>
            </w:r>
            <w:hyperlink w:anchor="SalaryTable" w:history="1">
              <w:r w:rsidR="00485E12">
                <w:rPr>
                  <w:rStyle w:val="Hyperlink"/>
                  <w:rFonts w:asciiTheme="majorHAnsi" w:hAnsiTheme="majorHAnsi" w:cstheme="minorBidi"/>
                  <w:b/>
                </w:rPr>
                <w:t>table on page 10</w:t>
              </w:r>
            </w:hyperlink>
            <w:r w:rsidRPr="00D1609F">
              <w:rPr>
                <w:rFonts w:asciiTheme="majorHAnsi" w:hAnsiTheme="majorHAnsi"/>
                <w:b/>
              </w:rPr>
              <w:t xml:space="preserve"> must be included for all proposed staff to be supported with federal funding.</w:t>
            </w:r>
          </w:p>
        </w:tc>
      </w:tr>
      <w:tr w:rsidR="00DE33ED" w:rsidRPr="002B4866" w:rsidTr="00D27465">
        <w:trPr>
          <w:cantSplit/>
          <w:trHeight w:val="1052"/>
        </w:trPr>
        <w:tc>
          <w:tcPr>
            <w:tcW w:w="1780" w:type="dxa"/>
          </w:tcPr>
          <w:p w:rsidR="00DE33ED" w:rsidRPr="002B4866" w:rsidRDefault="00DE33ED" w:rsidP="002D0F24">
            <w:pPr>
              <w:rPr>
                <w:rFonts w:asciiTheme="majorHAnsi" w:hAnsiTheme="majorHAnsi"/>
                <w:b/>
              </w:rPr>
            </w:pPr>
            <w:r w:rsidRPr="002B4866">
              <w:rPr>
                <w:rFonts w:asciiTheme="majorHAnsi" w:hAnsiTheme="majorHAnsi"/>
                <w:b/>
              </w:rPr>
              <w:t>Fringe Benefits</w:t>
            </w:r>
          </w:p>
        </w:tc>
        <w:tc>
          <w:tcPr>
            <w:tcW w:w="8037" w:type="dxa"/>
          </w:tcPr>
          <w:p w:rsidR="00DE33ED" w:rsidRPr="002B4866" w:rsidRDefault="00DE33ED" w:rsidP="002D0F24">
            <w:pPr>
              <w:rPr>
                <w:rFonts w:asciiTheme="majorHAnsi" w:hAnsiTheme="majorHAnsi"/>
              </w:rPr>
            </w:pPr>
            <w:r w:rsidRPr="002B4866">
              <w:rPr>
                <w:rFonts w:asciiTheme="majorHAnsi" w:hAnsiTheme="majorHAnsi"/>
              </w:rPr>
              <w:t>List the components that comprise the fringe benefit rate (e.g., health insurance, taxes, unemployment insurance, life insurance, retirement plan, tuition reimbursement).  The fringe benefits should be directly proportional to the portion of personnel costs allocated for the PCMH development activities.</w:t>
            </w:r>
          </w:p>
        </w:tc>
      </w:tr>
      <w:tr w:rsidR="00DE33ED" w:rsidRPr="002B4866" w:rsidTr="00D27465">
        <w:trPr>
          <w:cantSplit/>
          <w:trHeight w:val="1052"/>
        </w:trPr>
        <w:tc>
          <w:tcPr>
            <w:tcW w:w="1780" w:type="dxa"/>
          </w:tcPr>
          <w:p w:rsidR="00DE33ED" w:rsidRPr="002B4866" w:rsidRDefault="00DE33ED" w:rsidP="002D0F24">
            <w:pPr>
              <w:rPr>
                <w:rFonts w:asciiTheme="majorHAnsi" w:hAnsiTheme="majorHAnsi"/>
                <w:b/>
              </w:rPr>
            </w:pPr>
            <w:r w:rsidRPr="002B4866">
              <w:rPr>
                <w:rFonts w:asciiTheme="majorHAnsi" w:hAnsiTheme="majorHAnsi"/>
                <w:b/>
              </w:rPr>
              <w:t>Travel</w:t>
            </w:r>
          </w:p>
        </w:tc>
        <w:tc>
          <w:tcPr>
            <w:tcW w:w="8037" w:type="dxa"/>
          </w:tcPr>
          <w:p w:rsidR="00DE33ED" w:rsidRPr="002B4866" w:rsidRDefault="00DE33ED" w:rsidP="002D0F24">
            <w:pPr>
              <w:rPr>
                <w:rFonts w:asciiTheme="majorHAnsi" w:hAnsiTheme="majorHAnsi"/>
              </w:rPr>
            </w:pPr>
            <w:r w:rsidRPr="002B4866">
              <w:rPr>
                <w:rFonts w:asciiTheme="majorHAnsi" w:hAnsiTheme="majorHAnsi"/>
              </w:rPr>
              <w:t>The budget should reflect expenses associated with consultant travel and travel for staff or providers to attend trainings.  List travel costs according to local and long distance travel.  For local travel, include the mileage rate, number of miles, reason for travel, and staff traveling.</w:t>
            </w:r>
          </w:p>
        </w:tc>
      </w:tr>
      <w:tr w:rsidR="00DE33ED" w:rsidRPr="002B4866" w:rsidTr="00D27465">
        <w:trPr>
          <w:cantSplit/>
          <w:trHeight w:val="1509"/>
        </w:trPr>
        <w:tc>
          <w:tcPr>
            <w:tcW w:w="1780" w:type="dxa"/>
          </w:tcPr>
          <w:p w:rsidR="00DE33ED" w:rsidRPr="002B4866" w:rsidRDefault="00DE33ED" w:rsidP="002D0F24">
            <w:pPr>
              <w:rPr>
                <w:rFonts w:asciiTheme="majorHAnsi" w:hAnsiTheme="majorHAnsi"/>
                <w:b/>
              </w:rPr>
            </w:pPr>
            <w:r w:rsidRPr="002B4866">
              <w:rPr>
                <w:rFonts w:asciiTheme="majorHAnsi" w:hAnsiTheme="majorHAnsi"/>
                <w:b/>
                <w:bCs/>
                <w:iCs/>
              </w:rPr>
              <w:t>Equipment</w:t>
            </w:r>
          </w:p>
        </w:tc>
        <w:tc>
          <w:tcPr>
            <w:tcW w:w="8037" w:type="dxa"/>
          </w:tcPr>
          <w:p w:rsidR="00DE33ED" w:rsidRPr="002B4866" w:rsidRDefault="00F44693" w:rsidP="002D0F24">
            <w:pPr>
              <w:rPr>
                <w:rFonts w:asciiTheme="majorHAnsi" w:hAnsiTheme="majorHAnsi"/>
                <w:iCs/>
              </w:rPr>
            </w:pPr>
            <w:r w:rsidRPr="00F44693">
              <w:rPr>
                <w:rFonts w:asciiTheme="majorHAnsi" w:hAnsiTheme="majorHAnsi"/>
              </w:rPr>
              <w:t>List equipment costs and provide justification under the program’s goals.  Equipment means tangible personal property (including information technology systems) having a useful life of more than one year and a per-unit acquisition cost which equals or exceeds the lesser of the capitalization level established by the non-</w:t>
            </w:r>
            <w:r w:rsidR="004627BF">
              <w:rPr>
                <w:rFonts w:asciiTheme="majorHAnsi" w:hAnsiTheme="majorHAnsi"/>
              </w:rPr>
              <w:t>f</w:t>
            </w:r>
            <w:r w:rsidRPr="00F44693">
              <w:rPr>
                <w:rFonts w:asciiTheme="majorHAnsi" w:hAnsiTheme="majorHAnsi"/>
              </w:rPr>
              <w:t>ederal entity for financial statement purposes, or $5,000.</w:t>
            </w:r>
          </w:p>
        </w:tc>
      </w:tr>
      <w:tr w:rsidR="00DE33ED" w:rsidRPr="002B4866" w:rsidTr="00D27465">
        <w:trPr>
          <w:cantSplit/>
          <w:trHeight w:val="520"/>
        </w:trPr>
        <w:tc>
          <w:tcPr>
            <w:tcW w:w="1780" w:type="dxa"/>
          </w:tcPr>
          <w:p w:rsidR="00DE33ED" w:rsidRPr="002B4866" w:rsidRDefault="00DE33ED" w:rsidP="002D0F24">
            <w:pPr>
              <w:rPr>
                <w:rFonts w:asciiTheme="majorHAnsi" w:hAnsiTheme="majorHAnsi"/>
                <w:b/>
                <w:bCs/>
                <w:iCs/>
              </w:rPr>
            </w:pPr>
            <w:r w:rsidRPr="002B4866">
              <w:rPr>
                <w:rFonts w:asciiTheme="majorHAnsi" w:hAnsiTheme="majorHAnsi"/>
                <w:b/>
              </w:rPr>
              <w:t>Supplies</w:t>
            </w:r>
          </w:p>
        </w:tc>
        <w:tc>
          <w:tcPr>
            <w:tcW w:w="8037" w:type="dxa"/>
          </w:tcPr>
          <w:p w:rsidR="00DE33ED" w:rsidRPr="002B4866" w:rsidRDefault="00DE33ED" w:rsidP="002D0F24">
            <w:pPr>
              <w:rPr>
                <w:rFonts w:asciiTheme="majorHAnsi" w:hAnsiTheme="majorHAnsi"/>
              </w:rPr>
            </w:pPr>
            <w:r w:rsidRPr="002B4866">
              <w:rPr>
                <w:rFonts w:asciiTheme="majorHAnsi" w:hAnsiTheme="majorHAnsi"/>
              </w:rPr>
              <w:t xml:space="preserve">List the items necessary for implementing the proposed project.  Equipment that does not meet the $5,000 threshold listed above should be listed here. </w:t>
            </w:r>
          </w:p>
        </w:tc>
      </w:tr>
      <w:tr w:rsidR="00DE33ED" w:rsidRPr="002B4866" w:rsidTr="00D27465">
        <w:trPr>
          <w:cantSplit/>
          <w:trHeight w:val="980"/>
        </w:trPr>
        <w:tc>
          <w:tcPr>
            <w:tcW w:w="1780" w:type="dxa"/>
          </w:tcPr>
          <w:p w:rsidR="00DE33ED" w:rsidRPr="002B4866" w:rsidRDefault="00DE33ED" w:rsidP="002D0F24">
            <w:pPr>
              <w:rPr>
                <w:rFonts w:asciiTheme="majorHAnsi" w:hAnsiTheme="majorHAnsi"/>
                <w:b/>
                <w:bCs/>
                <w:iCs/>
              </w:rPr>
            </w:pPr>
            <w:r w:rsidRPr="002B4866">
              <w:rPr>
                <w:rFonts w:asciiTheme="majorHAnsi" w:hAnsiTheme="majorHAnsi"/>
                <w:b/>
              </w:rPr>
              <w:t>Contractual</w:t>
            </w:r>
          </w:p>
        </w:tc>
        <w:tc>
          <w:tcPr>
            <w:tcW w:w="8037" w:type="dxa"/>
          </w:tcPr>
          <w:p w:rsidR="00DE33ED" w:rsidRPr="002B4866" w:rsidRDefault="00DE33ED" w:rsidP="002D0F24">
            <w:pPr>
              <w:rPr>
                <w:rFonts w:asciiTheme="majorHAnsi" w:hAnsiTheme="majorHAnsi"/>
              </w:rPr>
            </w:pPr>
            <w:r w:rsidRPr="002B4866">
              <w:rPr>
                <w:rFonts w:asciiTheme="majorHAnsi" w:hAnsiTheme="majorHAnsi"/>
              </w:rPr>
              <w:t>Provide a clear explanation as to the purpose of each contract, how the costs were estimated, and the specific contract deliverables.  Each applicant is responsible for ensuring that its organization/institution has in place an established and adequate procurement system with fully developed written procedures for awarding and monitoring contracts.</w:t>
            </w:r>
          </w:p>
        </w:tc>
      </w:tr>
      <w:tr w:rsidR="00DE33ED" w:rsidRPr="002B4866" w:rsidTr="00D27465">
        <w:trPr>
          <w:cantSplit/>
          <w:trHeight w:val="350"/>
        </w:trPr>
        <w:tc>
          <w:tcPr>
            <w:tcW w:w="1780" w:type="dxa"/>
          </w:tcPr>
          <w:p w:rsidR="00DE33ED" w:rsidRPr="002B4866" w:rsidRDefault="00DE33ED" w:rsidP="002D0F24">
            <w:pPr>
              <w:rPr>
                <w:rFonts w:asciiTheme="majorHAnsi" w:hAnsiTheme="majorHAnsi"/>
                <w:b/>
                <w:bCs/>
                <w:iCs/>
              </w:rPr>
            </w:pPr>
            <w:r w:rsidRPr="002B4866">
              <w:rPr>
                <w:rFonts w:asciiTheme="majorHAnsi" w:hAnsiTheme="majorHAnsi"/>
                <w:b/>
              </w:rPr>
              <w:t>Other</w:t>
            </w:r>
          </w:p>
        </w:tc>
        <w:tc>
          <w:tcPr>
            <w:tcW w:w="8037" w:type="dxa"/>
          </w:tcPr>
          <w:p w:rsidR="00DE33ED" w:rsidRPr="002B4866" w:rsidRDefault="00DE33ED" w:rsidP="001D39BB">
            <w:pPr>
              <w:rPr>
                <w:rFonts w:asciiTheme="majorHAnsi" w:hAnsiTheme="majorHAnsi"/>
              </w:rPr>
            </w:pPr>
            <w:r w:rsidRPr="002B4866">
              <w:rPr>
                <w:rFonts w:asciiTheme="majorHAnsi" w:hAnsiTheme="majorHAnsi"/>
              </w:rPr>
              <w:t xml:space="preserve">Include all costs that do not fit into any other category and provide an explanation of each cost.  </w:t>
            </w:r>
          </w:p>
        </w:tc>
      </w:tr>
    </w:tbl>
    <w:p w:rsidR="00DE33ED" w:rsidRPr="002B4866" w:rsidRDefault="00DE33ED" w:rsidP="002D0F24">
      <w:pPr>
        <w:rPr>
          <w:rFonts w:asciiTheme="majorHAnsi" w:hAnsiTheme="majorHAnsi"/>
          <w:b/>
        </w:rPr>
      </w:pPr>
      <w:r w:rsidRPr="002B4866">
        <w:rPr>
          <w:rFonts w:asciiTheme="majorHAnsi" w:hAnsiTheme="majorHAnsi"/>
          <w:b/>
        </w:rPr>
        <w:t>Salary Limitation Requirements</w:t>
      </w:r>
    </w:p>
    <w:p w:rsidR="00DE33ED" w:rsidRPr="002B4866" w:rsidRDefault="005A022D" w:rsidP="002D0F24">
      <w:pPr>
        <w:rPr>
          <w:rFonts w:asciiTheme="majorHAnsi" w:hAnsiTheme="majorHAnsi"/>
        </w:rPr>
      </w:pPr>
      <w:r>
        <w:rPr>
          <w:rFonts w:asciiTheme="majorHAnsi" w:hAnsiTheme="majorHAnsi"/>
          <w:bCs/>
        </w:rPr>
        <w:t xml:space="preserve">FY 2016 </w:t>
      </w:r>
      <w:r w:rsidR="00DE33ED" w:rsidRPr="002B4866">
        <w:rPr>
          <w:rFonts w:asciiTheme="majorHAnsi" w:hAnsiTheme="majorHAnsi"/>
        </w:rPr>
        <w:t xml:space="preserve">PCMH supplemental funding may not be used to pay the salary of an individual at a rate in excess of Executive Level II or </w:t>
      </w:r>
      <w:r w:rsidR="003C3EF5" w:rsidRPr="002B4866">
        <w:rPr>
          <w:rFonts w:asciiTheme="majorHAnsi" w:hAnsiTheme="majorHAnsi"/>
        </w:rPr>
        <w:t>$185,100</w:t>
      </w:r>
      <w:r w:rsidR="00DE33ED" w:rsidRPr="002B4866">
        <w:rPr>
          <w:rFonts w:asciiTheme="majorHAnsi" w:hAnsiTheme="majorHAnsi"/>
        </w:rPr>
        <w:t>.  This amount reflects an individual’s base salary exclusive of fringe benefits and income that an individual may be permitted to earn outside of the duties to the health center organization (i.e., the rate limitation only limits the amount that may be awarded and charged to HRSA grants).  This salary limitation also applies to sub-awards/subcontracts under a HRSA grant.</w:t>
      </w:r>
    </w:p>
    <w:p w:rsidR="00DE33ED" w:rsidRPr="002B4866" w:rsidRDefault="00DE33ED" w:rsidP="002D0F24">
      <w:pPr>
        <w:rPr>
          <w:rFonts w:asciiTheme="majorHAnsi" w:hAnsiTheme="majorHAnsi"/>
        </w:rPr>
      </w:pPr>
    </w:p>
    <w:p w:rsidR="00DE33ED" w:rsidRPr="002B4866" w:rsidRDefault="00DE33ED" w:rsidP="002D0F24">
      <w:pPr>
        <w:rPr>
          <w:rFonts w:asciiTheme="majorHAnsi" w:hAnsiTheme="majorHAnsi"/>
        </w:rPr>
      </w:pPr>
      <w:r w:rsidRPr="002B4866">
        <w:rPr>
          <w:rFonts w:asciiTheme="majorHAnsi" w:hAnsiTheme="majorHAnsi"/>
        </w:rPr>
        <w:t xml:space="preserve">The information included in </w:t>
      </w:r>
      <w:r w:rsidR="00417E6A">
        <w:rPr>
          <w:rFonts w:asciiTheme="majorHAnsi" w:hAnsiTheme="majorHAnsi"/>
        </w:rPr>
        <w:t>the t</w:t>
      </w:r>
      <w:r w:rsidR="003C3EF5" w:rsidRPr="002B4866">
        <w:rPr>
          <w:rFonts w:asciiTheme="majorHAnsi" w:hAnsiTheme="majorHAnsi"/>
        </w:rPr>
        <w:t xml:space="preserve">able </w:t>
      </w:r>
      <w:r w:rsidRPr="002B4866">
        <w:rPr>
          <w:rFonts w:asciiTheme="majorHAnsi" w:hAnsiTheme="majorHAnsi"/>
        </w:rPr>
        <w:t xml:space="preserve">below must be provided for </w:t>
      </w:r>
      <w:r w:rsidRPr="00AC0325">
        <w:rPr>
          <w:rFonts w:asciiTheme="majorHAnsi" w:hAnsiTheme="majorHAnsi"/>
        </w:rPr>
        <w:t>all</w:t>
      </w:r>
      <w:r w:rsidRPr="002B4866">
        <w:rPr>
          <w:rFonts w:asciiTheme="majorHAnsi" w:hAnsiTheme="majorHAnsi"/>
        </w:rPr>
        <w:t xml:space="preserve"> staff proposed to be supported by federal funding through the </w:t>
      </w:r>
      <w:r w:rsidR="005A022D">
        <w:rPr>
          <w:rFonts w:asciiTheme="majorHAnsi" w:hAnsiTheme="majorHAnsi"/>
          <w:bCs/>
        </w:rPr>
        <w:t xml:space="preserve">FY 2016 </w:t>
      </w:r>
      <w:r w:rsidR="00050058" w:rsidRPr="002B4866">
        <w:rPr>
          <w:rFonts w:asciiTheme="majorHAnsi" w:hAnsiTheme="majorHAnsi"/>
        </w:rPr>
        <w:t>PCMH</w:t>
      </w:r>
      <w:r w:rsidRPr="002B4866">
        <w:rPr>
          <w:rFonts w:asciiTheme="majorHAnsi" w:hAnsiTheme="majorHAnsi"/>
        </w:rPr>
        <w:t xml:space="preserve"> funding opportunity.  Staff supported entirely with non-federal funds do not require this level of information.</w:t>
      </w:r>
    </w:p>
    <w:p w:rsidR="00DE33ED" w:rsidRPr="002B4866" w:rsidRDefault="00DE33ED" w:rsidP="002D0F24">
      <w:pPr>
        <w:rPr>
          <w:rFonts w:asciiTheme="majorHAnsi" w:hAnsiTheme="majorHAnsi"/>
          <w:b/>
        </w:rPr>
      </w:pPr>
    </w:p>
    <w:p w:rsidR="00DE33ED" w:rsidRPr="002B4866" w:rsidRDefault="00DE33ED" w:rsidP="002D0F24">
      <w:pPr>
        <w:rPr>
          <w:rFonts w:asciiTheme="majorHAnsi" w:hAnsiTheme="majorHAnsi"/>
          <w:b/>
          <w:bCs/>
        </w:rPr>
      </w:pPr>
      <w:bookmarkStart w:id="21" w:name="Table9"/>
      <w:bookmarkStart w:id="22" w:name="Table4"/>
      <w:bookmarkStart w:id="23" w:name="SalaryTable"/>
      <w:r w:rsidRPr="002B4866">
        <w:rPr>
          <w:rFonts w:asciiTheme="majorHAnsi" w:hAnsiTheme="majorHAnsi"/>
          <w:b/>
          <w:bCs/>
        </w:rPr>
        <w:t>Budget Justification Sample for Proposed Staff</w:t>
      </w:r>
      <w:bookmarkEnd w:id="21"/>
    </w:p>
    <w:tbl>
      <w:tblPr>
        <w:tblStyle w:val="TableGrid"/>
        <w:tblW w:w="0" w:type="auto"/>
        <w:tblInd w:w="108" w:type="dxa"/>
        <w:tblCellMar>
          <w:top w:w="29" w:type="dxa"/>
          <w:left w:w="115" w:type="dxa"/>
          <w:bottom w:w="29" w:type="dxa"/>
          <w:right w:w="115" w:type="dxa"/>
        </w:tblCellMar>
        <w:tblLook w:val="04A0" w:firstRow="1" w:lastRow="0" w:firstColumn="1" w:lastColumn="0" w:noHBand="0" w:noVBand="1"/>
        <w:tblCaption w:val="Budget Justification Sample for Proposed Staff"/>
      </w:tblPr>
      <w:tblGrid>
        <w:gridCol w:w="997"/>
        <w:gridCol w:w="3045"/>
        <w:gridCol w:w="915"/>
        <w:gridCol w:w="1170"/>
        <w:gridCol w:w="1890"/>
        <w:gridCol w:w="1350"/>
      </w:tblGrid>
      <w:tr w:rsidR="00DE33ED" w:rsidRPr="002B4866" w:rsidTr="00BA5D7B">
        <w:trPr>
          <w:cantSplit/>
          <w:tblHeader/>
        </w:trPr>
        <w:tc>
          <w:tcPr>
            <w:tcW w:w="997" w:type="dxa"/>
            <w:shd w:val="clear" w:color="auto" w:fill="D9D9D9" w:themeFill="background1" w:themeFillShade="D9"/>
            <w:vAlign w:val="bottom"/>
          </w:tcPr>
          <w:bookmarkEnd w:id="22"/>
          <w:bookmarkEnd w:id="23"/>
          <w:p w:rsidR="00DE33ED" w:rsidRPr="002B4866" w:rsidRDefault="00DE33ED" w:rsidP="002D0F24">
            <w:pPr>
              <w:rPr>
                <w:rFonts w:asciiTheme="majorHAnsi" w:hAnsiTheme="majorHAnsi"/>
              </w:rPr>
            </w:pPr>
            <w:r w:rsidRPr="002B4866">
              <w:rPr>
                <w:rFonts w:asciiTheme="majorHAnsi" w:hAnsiTheme="majorHAnsi"/>
                <w:b/>
                <w:bCs/>
              </w:rPr>
              <w:t>Name</w:t>
            </w:r>
          </w:p>
        </w:tc>
        <w:tc>
          <w:tcPr>
            <w:tcW w:w="3045" w:type="dxa"/>
            <w:shd w:val="clear" w:color="auto" w:fill="D9D9D9" w:themeFill="background1" w:themeFillShade="D9"/>
            <w:vAlign w:val="bottom"/>
          </w:tcPr>
          <w:p w:rsidR="00DE33ED" w:rsidRPr="002B4866" w:rsidRDefault="00DE33ED" w:rsidP="002D0F24">
            <w:pPr>
              <w:rPr>
                <w:rFonts w:asciiTheme="majorHAnsi" w:hAnsiTheme="majorHAnsi"/>
              </w:rPr>
            </w:pPr>
            <w:r w:rsidRPr="002B4866">
              <w:rPr>
                <w:rFonts w:asciiTheme="majorHAnsi" w:hAnsiTheme="majorHAnsi"/>
                <w:b/>
                <w:bCs/>
              </w:rPr>
              <w:t>Position Title</w:t>
            </w:r>
          </w:p>
        </w:tc>
        <w:tc>
          <w:tcPr>
            <w:tcW w:w="915" w:type="dxa"/>
            <w:shd w:val="clear" w:color="auto" w:fill="D9D9D9" w:themeFill="background1" w:themeFillShade="D9"/>
            <w:vAlign w:val="bottom"/>
          </w:tcPr>
          <w:p w:rsidR="00DE33ED" w:rsidRPr="002B4866" w:rsidRDefault="00DE33ED" w:rsidP="002D0F24">
            <w:pPr>
              <w:rPr>
                <w:rFonts w:asciiTheme="majorHAnsi" w:hAnsiTheme="majorHAnsi"/>
              </w:rPr>
            </w:pPr>
            <w:r w:rsidRPr="002B4866">
              <w:rPr>
                <w:rFonts w:asciiTheme="majorHAnsi" w:hAnsiTheme="majorHAnsi"/>
                <w:b/>
                <w:bCs/>
              </w:rPr>
              <w:t>% of FTE</w:t>
            </w:r>
          </w:p>
        </w:tc>
        <w:tc>
          <w:tcPr>
            <w:tcW w:w="1170" w:type="dxa"/>
            <w:shd w:val="clear" w:color="auto" w:fill="D9D9D9" w:themeFill="background1" w:themeFillShade="D9"/>
            <w:vAlign w:val="bottom"/>
          </w:tcPr>
          <w:p w:rsidR="00DE33ED" w:rsidRPr="002B4866" w:rsidRDefault="00DE33ED" w:rsidP="002D0F24">
            <w:pPr>
              <w:rPr>
                <w:rFonts w:asciiTheme="majorHAnsi" w:hAnsiTheme="majorHAnsi"/>
              </w:rPr>
            </w:pPr>
            <w:r w:rsidRPr="002B4866">
              <w:rPr>
                <w:rFonts w:asciiTheme="majorHAnsi" w:hAnsiTheme="majorHAnsi"/>
                <w:b/>
                <w:bCs/>
              </w:rPr>
              <w:t>Base Salary</w:t>
            </w:r>
          </w:p>
        </w:tc>
        <w:tc>
          <w:tcPr>
            <w:tcW w:w="1890" w:type="dxa"/>
            <w:shd w:val="clear" w:color="auto" w:fill="D9D9D9" w:themeFill="background1" w:themeFillShade="D9"/>
            <w:vAlign w:val="bottom"/>
          </w:tcPr>
          <w:p w:rsidR="00DE33ED" w:rsidRPr="002B4866" w:rsidRDefault="00DE33ED" w:rsidP="002D0F24">
            <w:pPr>
              <w:rPr>
                <w:rFonts w:asciiTheme="majorHAnsi" w:hAnsiTheme="majorHAnsi"/>
              </w:rPr>
            </w:pPr>
            <w:r w:rsidRPr="002B4866">
              <w:rPr>
                <w:rFonts w:asciiTheme="majorHAnsi" w:hAnsiTheme="majorHAnsi"/>
                <w:b/>
                <w:bCs/>
              </w:rPr>
              <w:t>Adjusted Annual Salary</w:t>
            </w:r>
          </w:p>
        </w:tc>
        <w:tc>
          <w:tcPr>
            <w:tcW w:w="1350" w:type="dxa"/>
            <w:shd w:val="clear" w:color="auto" w:fill="D9D9D9" w:themeFill="background1" w:themeFillShade="D9"/>
            <w:vAlign w:val="bottom"/>
          </w:tcPr>
          <w:p w:rsidR="00DE33ED" w:rsidRPr="002B4866" w:rsidRDefault="00DE33ED" w:rsidP="002D0F24">
            <w:pPr>
              <w:rPr>
                <w:rFonts w:asciiTheme="majorHAnsi" w:hAnsiTheme="majorHAnsi"/>
              </w:rPr>
            </w:pPr>
            <w:r w:rsidRPr="002B4866">
              <w:rPr>
                <w:rFonts w:asciiTheme="majorHAnsi" w:hAnsiTheme="majorHAnsi"/>
                <w:b/>
                <w:bCs/>
              </w:rPr>
              <w:t>Federal Amount Requested</w:t>
            </w:r>
          </w:p>
        </w:tc>
      </w:tr>
      <w:tr w:rsidR="00DE33ED" w:rsidRPr="002B4866" w:rsidTr="00BA5D7B">
        <w:trPr>
          <w:cantSplit/>
          <w:trHeight w:val="519"/>
        </w:trPr>
        <w:tc>
          <w:tcPr>
            <w:tcW w:w="997" w:type="dxa"/>
            <w:vAlign w:val="center"/>
          </w:tcPr>
          <w:p w:rsidR="00DE33ED" w:rsidRPr="002B4866" w:rsidRDefault="00DE33ED" w:rsidP="002D0F24">
            <w:pPr>
              <w:rPr>
                <w:rFonts w:asciiTheme="majorHAnsi" w:hAnsiTheme="majorHAnsi"/>
              </w:rPr>
            </w:pPr>
            <w:r w:rsidRPr="002B4866">
              <w:rPr>
                <w:rFonts w:asciiTheme="majorHAnsi" w:hAnsiTheme="majorHAnsi"/>
              </w:rPr>
              <w:t xml:space="preserve">J. Smith </w:t>
            </w:r>
          </w:p>
        </w:tc>
        <w:tc>
          <w:tcPr>
            <w:tcW w:w="3045" w:type="dxa"/>
            <w:vAlign w:val="center"/>
          </w:tcPr>
          <w:p w:rsidR="00DE33ED" w:rsidRPr="002B4866" w:rsidRDefault="00DE33ED" w:rsidP="002D0F24">
            <w:pPr>
              <w:rPr>
                <w:rFonts w:asciiTheme="majorHAnsi" w:hAnsiTheme="majorHAnsi"/>
              </w:rPr>
            </w:pPr>
            <w:r w:rsidRPr="002B4866">
              <w:rPr>
                <w:rFonts w:asciiTheme="majorHAnsi" w:hAnsiTheme="majorHAnsi"/>
              </w:rPr>
              <w:t xml:space="preserve">Physician </w:t>
            </w:r>
          </w:p>
        </w:tc>
        <w:tc>
          <w:tcPr>
            <w:tcW w:w="915" w:type="dxa"/>
            <w:vAlign w:val="center"/>
          </w:tcPr>
          <w:p w:rsidR="00DE33ED" w:rsidRPr="002B4866" w:rsidRDefault="00DE3785" w:rsidP="002D0F24">
            <w:pPr>
              <w:rPr>
                <w:rFonts w:asciiTheme="majorHAnsi" w:hAnsiTheme="majorHAnsi"/>
              </w:rPr>
            </w:pPr>
            <w:r>
              <w:rPr>
                <w:rFonts w:asciiTheme="majorHAnsi" w:hAnsiTheme="majorHAnsi"/>
              </w:rPr>
              <w:t>5</w:t>
            </w:r>
            <w:r w:rsidR="00DE33ED" w:rsidRPr="002B4866">
              <w:rPr>
                <w:rFonts w:asciiTheme="majorHAnsi" w:hAnsiTheme="majorHAnsi"/>
              </w:rPr>
              <w:t>%</w:t>
            </w:r>
          </w:p>
        </w:tc>
        <w:tc>
          <w:tcPr>
            <w:tcW w:w="1170" w:type="dxa"/>
            <w:vAlign w:val="center"/>
          </w:tcPr>
          <w:p w:rsidR="00DE33ED" w:rsidRPr="002B4866" w:rsidRDefault="00DE33ED" w:rsidP="002D0F24">
            <w:pPr>
              <w:rPr>
                <w:rFonts w:asciiTheme="majorHAnsi" w:hAnsiTheme="majorHAnsi"/>
              </w:rPr>
            </w:pPr>
            <w:r w:rsidRPr="002B4866">
              <w:rPr>
                <w:rFonts w:asciiTheme="majorHAnsi" w:hAnsiTheme="majorHAnsi"/>
              </w:rPr>
              <w:t xml:space="preserve">$225,000 </w:t>
            </w:r>
          </w:p>
        </w:tc>
        <w:tc>
          <w:tcPr>
            <w:tcW w:w="1890" w:type="dxa"/>
            <w:vAlign w:val="center"/>
          </w:tcPr>
          <w:p w:rsidR="00DE33ED" w:rsidRPr="002B4866" w:rsidRDefault="00DE33ED" w:rsidP="002D0F24">
            <w:pPr>
              <w:rPr>
                <w:rFonts w:asciiTheme="majorHAnsi" w:hAnsiTheme="majorHAnsi"/>
              </w:rPr>
            </w:pPr>
            <w:r w:rsidRPr="002B4866">
              <w:rPr>
                <w:rFonts w:asciiTheme="majorHAnsi" w:hAnsiTheme="majorHAnsi"/>
              </w:rPr>
              <w:t>$</w:t>
            </w:r>
            <w:r w:rsidR="00744163">
              <w:rPr>
                <w:rFonts w:asciiTheme="majorHAnsi" w:hAnsiTheme="majorHAnsi"/>
              </w:rPr>
              <w:t>185,100</w:t>
            </w:r>
          </w:p>
        </w:tc>
        <w:tc>
          <w:tcPr>
            <w:tcW w:w="1350" w:type="dxa"/>
            <w:vAlign w:val="center"/>
          </w:tcPr>
          <w:p w:rsidR="00DE33ED" w:rsidRPr="002B4866" w:rsidRDefault="00DE33ED" w:rsidP="002D0F24">
            <w:pPr>
              <w:rPr>
                <w:rFonts w:asciiTheme="majorHAnsi" w:hAnsiTheme="majorHAnsi"/>
              </w:rPr>
            </w:pPr>
            <w:r w:rsidRPr="002B4866">
              <w:rPr>
                <w:rFonts w:asciiTheme="majorHAnsi" w:hAnsiTheme="majorHAnsi"/>
              </w:rPr>
              <w:t>$</w:t>
            </w:r>
            <w:r w:rsidR="00DE3785">
              <w:rPr>
                <w:rFonts w:asciiTheme="majorHAnsi" w:hAnsiTheme="majorHAnsi"/>
              </w:rPr>
              <w:t>9</w:t>
            </w:r>
            <w:r w:rsidR="00417E6A">
              <w:rPr>
                <w:rFonts w:asciiTheme="majorHAnsi" w:hAnsiTheme="majorHAnsi"/>
              </w:rPr>
              <w:t>,</w:t>
            </w:r>
            <w:r w:rsidR="00DE3785">
              <w:rPr>
                <w:rFonts w:asciiTheme="majorHAnsi" w:hAnsiTheme="majorHAnsi"/>
              </w:rPr>
              <w:t>2</w:t>
            </w:r>
            <w:r w:rsidR="00417E6A">
              <w:rPr>
                <w:rFonts w:asciiTheme="majorHAnsi" w:hAnsiTheme="majorHAnsi"/>
              </w:rPr>
              <w:t>50</w:t>
            </w:r>
            <w:r w:rsidRPr="002B4866">
              <w:rPr>
                <w:rFonts w:asciiTheme="majorHAnsi" w:hAnsiTheme="majorHAnsi"/>
              </w:rPr>
              <w:t xml:space="preserve"> </w:t>
            </w:r>
          </w:p>
        </w:tc>
      </w:tr>
      <w:tr w:rsidR="00DE33ED" w:rsidRPr="002B4866" w:rsidTr="00BA5D7B">
        <w:trPr>
          <w:cantSplit/>
        </w:trPr>
        <w:tc>
          <w:tcPr>
            <w:tcW w:w="997" w:type="dxa"/>
            <w:vAlign w:val="center"/>
          </w:tcPr>
          <w:p w:rsidR="00DE33ED" w:rsidRPr="002B4866" w:rsidRDefault="00DE33ED" w:rsidP="002D0F24">
            <w:pPr>
              <w:rPr>
                <w:rFonts w:asciiTheme="majorHAnsi" w:hAnsiTheme="majorHAnsi"/>
              </w:rPr>
            </w:pPr>
            <w:r w:rsidRPr="002B4866">
              <w:rPr>
                <w:rFonts w:asciiTheme="majorHAnsi" w:hAnsiTheme="majorHAnsi"/>
              </w:rPr>
              <w:t xml:space="preserve">R. Doe </w:t>
            </w:r>
          </w:p>
        </w:tc>
        <w:tc>
          <w:tcPr>
            <w:tcW w:w="3045" w:type="dxa"/>
            <w:vAlign w:val="center"/>
          </w:tcPr>
          <w:p w:rsidR="00DE33ED" w:rsidRPr="002B4866" w:rsidRDefault="00DE33ED" w:rsidP="002D0F24">
            <w:pPr>
              <w:rPr>
                <w:rFonts w:asciiTheme="majorHAnsi" w:hAnsiTheme="majorHAnsi"/>
              </w:rPr>
            </w:pPr>
            <w:r w:rsidRPr="002B4866">
              <w:rPr>
                <w:rFonts w:asciiTheme="majorHAnsi" w:hAnsiTheme="majorHAnsi"/>
              </w:rPr>
              <w:t xml:space="preserve">Nurse </w:t>
            </w:r>
            <w:r w:rsidR="00DE3785">
              <w:rPr>
                <w:rFonts w:asciiTheme="majorHAnsi" w:hAnsiTheme="majorHAnsi"/>
              </w:rPr>
              <w:t>Transformation Lead</w:t>
            </w:r>
            <w:r w:rsidR="00DE3785" w:rsidRPr="002B4866">
              <w:rPr>
                <w:rFonts w:asciiTheme="majorHAnsi" w:hAnsiTheme="majorHAnsi"/>
              </w:rPr>
              <w:t xml:space="preserve"> </w:t>
            </w:r>
          </w:p>
        </w:tc>
        <w:tc>
          <w:tcPr>
            <w:tcW w:w="915" w:type="dxa"/>
            <w:vAlign w:val="center"/>
          </w:tcPr>
          <w:p w:rsidR="00DE33ED" w:rsidRPr="002B4866" w:rsidRDefault="00DE3785" w:rsidP="002D0F24">
            <w:pPr>
              <w:rPr>
                <w:rFonts w:asciiTheme="majorHAnsi" w:hAnsiTheme="majorHAnsi"/>
              </w:rPr>
            </w:pPr>
            <w:r>
              <w:rPr>
                <w:rFonts w:asciiTheme="majorHAnsi" w:hAnsiTheme="majorHAnsi"/>
              </w:rPr>
              <w:t>30</w:t>
            </w:r>
            <w:r w:rsidR="00DE33ED" w:rsidRPr="002B4866">
              <w:rPr>
                <w:rFonts w:asciiTheme="majorHAnsi" w:hAnsiTheme="majorHAnsi"/>
              </w:rPr>
              <w:t>%</w:t>
            </w:r>
          </w:p>
        </w:tc>
        <w:tc>
          <w:tcPr>
            <w:tcW w:w="1170" w:type="dxa"/>
            <w:vAlign w:val="center"/>
          </w:tcPr>
          <w:p w:rsidR="00DE33ED" w:rsidRPr="002B4866" w:rsidRDefault="00DE33ED" w:rsidP="002D0F24">
            <w:pPr>
              <w:rPr>
                <w:rFonts w:asciiTheme="majorHAnsi" w:hAnsiTheme="majorHAnsi"/>
              </w:rPr>
            </w:pPr>
            <w:r w:rsidRPr="002B4866">
              <w:rPr>
                <w:rFonts w:asciiTheme="majorHAnsi" w:hAnsiTheme="majorHAnsi"/>
              </w:rPr>
              <w:t>$7</w:t>
            </w:r>
            <w:r w:rsidR="00DE3785">
              <w:rPr>
                <w:rFonts w:asciiTheme="majorHAnsi" w:hAnsiTheme="majorHAnsi"/>
              </w:rPr>
              <w:t>4</w:t>
            </w:r>
            <w:r w:rsidRPr="002B4866">
              <w:rPr>
                <w:rFonts w:asciiTheme="majorHAnsi" w:hAnsiTheme="majorHAnsi"/>
              </w:rPr>
              <w:t>,</w:t>
            </w:r>
            <w:r w:rsidR="00DE3785">
              <w:rPr>
                <w:rFonts w:asciiTheme="majorHAnsi" w:hAnsiTheme="majorHAnsi"/>
              </w:rPr>
              <w:t>500</w:t>
            </w:r>
            <w:r w:rsidRPr="002B4866">
              <w:rPr>
                <w:rFonts w:asciiTheme="majorHAnsi" w:hAnsiTheme="majorHAnsi"/>
              </w:rPr>
              <w:t xml:space="preserve"> </w:t>
            </w:r>
          </w:p>
        </w:tc>
        <w:tc>
          <w:tcPr>
            <w:tcW w:w="1890" w:type="dxa"/>
            <w:vAlign w:val="center"/>
          </w:tcPr>
          <w:p w:rsidR="00DE33ED" w:rsidRPr="002B4866" w:rsidRDefault="00DE33ED" w:rsidP="002D0F24">
            <w:pPr>
              <w:rPr>
                <w:rFonts w:asciiTheme="majorHAnsi" w:hAnsiTheme="majorHAnsi"/>
              </w:rPr>
            </w:pPr>
            <w:r w:rsidRPr="002B4866">
              <w:rPr>
                <w:rFonts w:asciiTheme="majorHAnsi" w:hAnsiTheme="majorHAnsi"/>
              </w:rPr>
              <w:t xml:space="preserve">No adjustment needed </w:t>
            </w:r>
          </w:p>
        </w:tc>
        <w:tc>
          <w:tcPr>
            <w:tcW w:w="1350" w:type="dxa"/>
            <w:vAlign w:val="center"/>
          </w:tcPr>
          <w:p w:rsidR="00DE33ED" w:rsidRPr="002B4866" w:rsidRDefault="00DE33ED" w:rsidP="002D0F24">
            <w:pPr>
              <w:rPr>
                <w:rFonts w:asciiTheme="majorHAnsi" w:hAnsiTheme="majorHAnsi"/>
              </w:rPr>
            </w:pPr>
            <w:r w:rsidRPr="002B4866">
              <w:rPr>
                <w:rFonts w:asciiTheme="majorHAnsi" w:hAnsiTheme="majorHAnsi"/>
              </w:rPr>
              <w:t>$</w:t>
            </w:r>
            <w:r w:rsidR="00DE3785">
              <w:rPr>
                <w:rFonts w:asciiTheme="majorHAnsi" w:hAnsiTheme="majorHAnsi"/>
              </w:rPr>
              <w:t>22,350</w:t>
            </w:r>
          </w:p>
        </w:tc>
      </w:tr>
      <w:tr w:rsidR="00DE33ED" w:rsidRPr="002B4866" w:rsidTr="00BA5D7B">
        <w:trPr>
          <w:cantSplit/>
        </w:trPr>
        <w:tc>
          <w:tcPr>
            <w:tcW w:w="997" w:type="dxa"/>
            <w:vAlign w:val="center"/>
          </w:tcPr>
          <w:p w:rsidR="00DE33ED" w:rsidRPr="002B4866" w:rsidRDefault="00DE33ED" w:rsidP="002D0F24">
            <w:pPr>
              <w:rPr>
                <w:rFonts w:asciiTheme="majorHAnsi" w:hAnsiTheme="majorHAnsi"/>
              </w:rPr>
            </w:pPr>
            <w:r w:rsidRPr="002B4866">
              <w:rPr>
                <w:rFonts w:asciiTheme="majorHAnsi" w:hAnsiTheme="majorHAnsi"/>
              </w:rPr>
              <w:t xml:space="preserve">D. Jones </w:t>
            </w:r>
          </w:p>
        </w:tc>
        <w:tc>
          <w:tcPr>
            <w:tcW w:w="3045" w:type="dxa"/>
            <w:vAlign w:val="center"/>
          </w:tcPr>
          <w:p w:rsidR="00DE33ED" w:rsidRPr="002B4866" w:rsidRDefault="00DE33ED" w:rsidP="002D0F24">
            <w:pPr>
              <w:rPr>
                <w:rFonts w:asciiTheme="majorHAnsi" w:hAnsiTheme="majorHAnsi"/>
              </w:rPr>
            </w:pPr>
            <w:r w:rsidRPr="002B4866">
              <w:rPr>
                <w:rFonts w:asciiTheme="majorHAnsi" w:hAnsiTheme="majorHAnsi"/>
              </w:rPr>
              <w:t xml:space="preserve">Data/AP Specialist </w:t>
            </w:r>
          </w:p>
        </w:tc>
        <w:tc>
          <w:tcPr>
            <w:tcW w:w="915" w:type="dxa"/>
            <w:vAlign w:val="center"/>
          </w:tcPr>
          <w:p w:rsidR="00DE33ED" w:rsidRPr="002B4866" w:rsidRDefault="00DE3785" w:rsidP="002D0F24">
            <w:pPr>
              <w:rPr>
                <w:rFonts w:asciiTheme="majorHAnsi" w:hAnsiTheme="majorHAnsi"/>
              </w:rPr>
            </w:pPr>
            <w:r>
              <w:rPr>
                <w:rFonts w:asciiTheme="majorHAnsi" w:hAnsiTheme="majorHAnsi"/>
              </w:rPr>
              <w:t>10</w:t>
            </w:r>
            <w:r w:rsidR="00DE33ED" w:rsidRPr="002B4866">
              <w:rPr>
                <w:rFonts w:asciiTheme="majorHAnsi" w:hAnsiTheme="majorHAnsi"/>
              </w:rPr>
              <w:t>%</w:t>
            </w:r>
          </w:p>
        </w:tc>
        <w:tc>
          <w:tcPr>
            <w:tcW w:w="1170" w:type="dxa"/>
            <w:vAlign w:val="center"/>
          </w:tcPr>
          <w:p w:rsidR="00DE33ED" w:rsidRPr="002B4866" w:rsidRDefault="00DE33ED" w:rsidP="002D0F24">
            <w:pPr>
              <w:rPr>
                <w:rFonts w:asciiTheme="majorHAnsi" w:hAnsiTheme="majorHAnsi"/>
              </w:rPr>
            </w:pPr>
            <w:r w:rsidRPr="002B4866">
              <w:rPr>
                <w:rFonts w:asciiTheme="majorHAnsi" w:hAnsiTheme="majorHAnsi"/>
              </w:rPr>
              <w:t xml:space="preserve">$33,000 </w:t>
            </w:r>
          </w:p>
        </w:tc>
        <w:tc>
          <w:tcPr>
            <w:tcW w:w="1890" w:type="dxa"/>
            <w:vAlign w:val="center"/>
          </w:tcPr>
          <w:p w:rsidR="00DE33ED" w:rsidRPr="002B4866" w:rsidRDefault="00DE33ED" w:rsidP="002D0F24">
            <w:pPr>
              <w:rPr>
                <w:rFonts w:asciiTheme="majorHAnsi" w:hAnsiTheme="majorHAnsi"/>
              </w:rPr>
            </w:pPr>
            <w:r w:rsidRPr="002B4866">
              <w:rPr>
                <w:rFonts w:asciiTheme="majorHAnsi" w:hAnsiTheme="majorHAnsi"/>
              </w:rPr>
              <w:t xml:space="preserve">No adjustment needed </w:t>
            </w:r>
          </w:p>
        </w:tc>
        <w:tc>
          <w:tcPr>
            <w:tcW w:w="1350" w:type="dxa"/>
            <w:vAlign w:val="center"/>
          </w:tcPr>
          <w:p w:rsidR="00DE33ED" w:rsidRPr="002B4866" w:rsidRDefault="00DE33ED" w:rsidP="002D0F24">
            <w:pPr>
              <w:rPr>
                <w:rFonts w:asciiTheme="majorHAnsi" w:hAnsiTheme="majorHAnsi"/>
              </w:rPr>
            </w:pPr>
            <w:r w:rsidRPr="002B4866">
              <w:rPr>
                <w:rFonts w:asciiTheme="majorHAnsi" w:hAnsiTheme="majorHAnsi"/>
              </w:rPr>
              <w:t>$</w:t>
            </w:r>
            <w:r w:rsidR="00DE3785">
              <w:rPr>
                <w:rFonts w:asciiTheme="majorHAnsi" w:hAnsiTheme="majorHAnsi"/>
              </w:rPr>
              <w:t>3</w:t>
            </w:r>
            <w:r w:rsidRPr="002B4866">
              <w:rPr>
                <w:rFonts w:asciiTheme="majorHAnsi" w:hAnsiTheme="majorHAnsi"/>
              </w:rPr>
              <w:t>,</w:t>
            </w:r>
            <w:r w:rsidR="00DE3785">
              <w:rPr>
                <w:rFonts w:asciiTheme="majorHAnsi" w:hAnsiTheme="majorHAnsi"/>
              </w:rPr>
              <w:t>300</w:t>
            </w:r>
          </w:p>
        </w:tc>
      </w:tr>
    </w:tbl>
    <w:p w:rsidR="00DE33ED" w:rsidRPr="002B4866" w:rsidRDefault="00DE33ED" w:rsidP="002D0F24">
      <w:pPr>
        <w:rPr>
          <w:rFonts w:asciiTheme="majorHAnsi" w:hAnsiTheme="majorHAnsi"/>
        </w:rPr>
      </w:pPr>
    </w:p>
    <w:sectPr w:rsidR="00DE33ED" w:rsidRPr="002B4866" w:rsidSect="002F2F57">
      <w:headerReference w:type="even" r:id="rId31"/>
      <w:headerReference w:type="default" r:id="rId32"/>
      <w:footerReference w:type="even" r:id="rId33"/>
      <w:footerReference w:type="default" r:id="rId34"/>
      <w:pgSz w:w="12240" w:h="15840"/>
      <w:pgMar w:top="1440" w:right="1440" w:bottom="1440" w:left="1440" w:header="720" w:footer="720" w:gutter="0"/>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64" w:rsidRDefault="00147B64" w:rsidP="00C0662B">
      <w:r>
        <w:separator/>
      </w:r>
    </w:p>
  </w:endnote>
  <w:endnote w:type="continuationSeparator" w:id="0">
    <w:p w:rsidR="00147B64" w:rsidRDefault="00147B64" w:rsidP="00C0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83854238"/>
      <w:docPartObj>
        <w:docPartGallery w:val="Page Numbers (Bottom of Page)"/>
        <w:docPartUnique/>
      </w:docPartObj>
    </w:sdtPr>
    <w:sdtEndPr>
      <w:rPr>
        <w:noProof/>
      </w:rPr>
    </w:sdtEndPr>
    <w:sdtContent>
      <w:p w:rsidR="006D0FD9" w:rsidRDefault="004040AC" w:rsidP="006E6053">
        <w:pPr>
          <w:pStyle w:val="Footer"/>
        </w:pPr>
        <w:r>
          <w:rPr>
            <w:sz w:val="20"/>
            <w:szCs w:val="20"/>
          </w:rPr>
          <w:t>HRSA-16-183</w:t>
        </w:r>
        <w:r>
          <w:rPr>
            <w:sz w:val="20"/>
            <w:szCs w:val="20"/>
          </w:rPr>
          <w:tab/>
        </w:r>
        <w:r w:rsidR="006D0FD9" w:rsidRPr="0019775F">
          <w:rPr>
            <w:sz w:val="20"/>
            <w:szCs w:val="20"/>
          </w:rPr>
          <w:fldChar w:fldCharType="begin"/>
        </w:r>
        <w:r w:rsidR="006D0FD9" w:rsidRPr="0019775F">
          <w:rPr>
            <w:sz w:val="20"/>
            <w:szCs w:val="20"/>
          </w:rPr>
          <w:instrText xml:space="preserve"> PAGE   \* MERGEFORMAT </w:instrText>
        </w:r>
        <w:r w:rsidR="006D0FD9" w:rsidRPr="0019775F">
          <w:rPr>
            <w:sz w:val="20"/>
            <w:szCs w:val="20"/>
          </w:rPr>
          <w:fldChar w:fldCharType="separate"/>
        </w:r>
        <w:r w:rsidR="00C635E3">
          <w:rPr>
            <w:noProof/>
            <w:sz w:val="20"/>
            <w:szCs w:val="20"/>
          </w:rPr>
          <w:t>1</w:t>
        </w:r>
        <w:r w:rsidR="006D0FD9" w:rsidRPr="0019775F">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pPr>
      <w:pStyle w:val="Footer"/>
    </w:pPr>
  </w:p>
  <w:p w:rsidR="006D0FD9" w:rsidRDefault="006D0F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3563"/>
      <w:docPartObj>
        <w:docPartGallery w:val="Page Numbers (Bottom of Page)"/>
        <w:docPartUnique/>
      </w:docPartObj>
    </w:sdtPr>
    <w:sdtEndPr>
      <w:rPr>
        <w:rFonts w:asciiTheme="majorHAnsi" w:hAnsiTheme="majorHAnsi"/>
      </w:rPr>
    </w:sdtEndPr>
    <w:sdtContent>
      <w:p w:rsidR="006D0FD9" w:rsidRDefault="006D0FD9" w:rsidP="002F2F57">
        <w:pPr>
          <w:pStyle w:val="Footer"/>
          <w:jc w:val="center"/>
        </w:pPr>
        <w:r w:rsidRPr="00FF6ADC">
          <w:rPr>
            <w:rFonts w:asciiTheme="majorHAnsi" w:hAnsiTheme="majorHAnsi"/>
          </w:rPr>
          <w:fldChar w:fldCharType="begin"/>
        </w:r>
        <w:r w:rsidRPr="00FF6ADC">
          <w:rPr>
            <w:rFonts w:asciiTheme="majorHAnsi" w:hAnsiTheme="majorHAnsi"/>
          </w:rPr>
          <w:instrText xml:space="preserve"> PAGE   \* MERGEFORMAT </w:instrText>
        </w:r>
        <w:r w:rsidRPr="00FF6ADC">
          <w:rPr>
            <w:rFonts w:asciiTheme="majorHAnsi" w:hAnsiTheme="majorHAnsi"/>
          </w:rPr>
          <w:fldChar w:fldCharType="separate"/>
        </w:r>
        <w:r w:rsidR="00C43E85">
          <w:rPr>
            <w:rFonts w:asciiTheme="majorHAnsi" w:hAnsiTheme="majorHAnsi"/>
            <w:noProof/>
          </w:rPr>
          <w:t>10</w:t>
        </w:r>
        <w:r w:rsidRPr="00FF6ADC">
          <w:rPr>
            <w:rFonts w:asciiTheme="majorHAnsi" w:hAnsiTheme="majorHAnsi"/>
          </w:rPr>
          <w:fldChar w:fldCharType="end"/>
        </w:r>
      </w:p>
    </w:sdtContent>
  </w:sdt>
  <w:p w:rsidR="006D0FD9" w:rsidRPr="00FF6ADC" w:rsidRDefault="006D0FD9">
    <w:pPr>
      <w:pStyle w:val="Footer"/>
      <w:rPr>
        <w:rFonts w:asciiTheme="majorHAnsi" w:hAnsiTheme="majorHAnsi"/>
      </w:rPr>
    </w:pPr>
  </w:p>
  <w:p w:rsidR="006D0FD9" w:rsidRDefault="006D0F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64" w:rsidRDefault="00147B64" w:rsidP="00C0662B">
      <w:r>
        <w:separator/>
      </w:r>
    </w:p>
  </w:footnote>
  <w:footnote w:type="continuationSeparator" w:id="0">
    <w:p w:rsidR="00147B64" w:rsidRDefault="00147B64" w:rsidP="00C0662B">
      <w:r>
        <w:continuationSeparator/>
      </w:r>
    </w:p>
  </w:footnote>
  <w:footnote w:id="1">
    <w:p w:rsidR="006D0FD9" w:rsidRDefault="006D0FD9" w:rsidP="00B5534D">
      <w:pPr>
        <w:pStyle w:val="FootnoteText"/>
      </w:pPr>
      <w:r>
        <w:rPr>
          <w:rStyle w:val="FootnoteReference"/>
        </w:rPr>
        <w:footnoteRef/>
      </w:r>
      <w:r>
        <w:t xml:space="preserve"> See </w:t>
      </w:r>
      <w:hyperlink w:anchor="EligibleApps" w:history="1">
        <w:r w:rsidRPr="00406279">
          <w:rPr>
            <w:rStyle w:val="Hyperlink"/>
          </w:rPr>
          <w:t>Eligible Applicants</w:t>
        </w:r>
      </w:hyperlink>
      <w:r>
        <w:t xml:space="preserve"> section for additional details.</w:t>
      </w:r>
    </w:p>
  </w:footnote>
  <w:footnote w:id="2">
    <w:p w:rsidR="006D0FD9" w:rsidRDefault="006D0FD9" w:rsidP="00B5534D">
      <w:pPr>
        <w:pStyle w:val="FootnoteText"/>
      </w:pPr>
      <w:r>
        <w:rPr>
          <w:rStyle w:val="FootnoteReference"/>
        </w:rPr>
        <w:footnoteRef/>
      </w:r>
      <w:r>
        <w:t xml:space="preserve"> </w:t>
      </w:r>
      <w:r w:rsidRPr="00D30DEB">
        <w:t>For the purposes of this funding opportunity announcement, the term “health center” means organizations funded under Section 330(e), (g), (h), and/or (i) of the Public Health Service Act, as amended (Health Center Program award recipients).</w:t>
      </w:r>
    </w:p>
  </w:footnote>
  <w:footnote w:id="3">
    <w:p w:rsidR="006D0FD9" w:rsidRDefault="006D0FD9">
      <w:pPr>
        <w:pStyle w:val="FootnoteText"/>
      </w:pPr>
      <w:r>
        <w:rPr>
          <w:rStyle w:val="FootnoteReference"/>
        </w:rPr>
        <w:footnoteRef/>
      </w:r>
      <w:r>
        <w:t xml:space="preserve"> For the purposes of the FY 2016 PCMH supplemental funding, “recognition” refers to national or state PCMH recognition or accreditation programs.</w:t>
      </w:r>
    </w:p>
  </w:footnote>
  <w:footnote w:id="4">
    <w:p w:rsidR="006D0FD9" w:rsidRPr="00227C61" w:rsidRDefault="006D0FD9" w:rsidP="00227C61">
      <w:pPr>
        <w:pStyle w:val="CommentText"/>
        <w:rPr>
          <w:rFonts w:asciiTheme="majorHAnsi" w:hAnsiTheme="majorHAnsi"/>
        </w:rPr>
      </w:pPr>
      <w:r w:rsidRPr="005B4C0B">
        <w:rPr>
          <w:rStyle w:val="FootnoteReference"/>
          <w:rFonts w:asciiTheme="majorHAnsi" w:hAnsiTheme="majorHAnsi"/>
        </w:rPr>
        <w:footnoteRef/>
      </w:r>
      <w:r w:rsidRPr="005B4C0B">
        <w:rPr>
          <w:rFonts w:asciiTheme="majorHAnsi" w:hAnsiTheme="majorHAnsi"/>
        </w:rPr>
        <w:t xml:space="preserve"> Section 330 of the PHS Act special populations include Migratory and Seasonal Agricultural Workers (section 330(g)), People Experiencing Homelessness (section 330(h)), and Residents of Public Housing (section 330(i)).</w:t>
      </w:r>
      <w:r w:rsidRPr="005B4C0B">
        <w:rPr>
          <w:rStyle w:val="CommentReference"/>
          <w:rFonts w:asciiTheme="majorHAnsi" w:hAnsiTheme="majorHAnsi"/>
        </w:rPr>
        <w:t xml:space="preserve"> </w:t>
      </w:r>
    </w:p>
  </w:footnote>
  <w:footnote w:id="5">
    <w:p w:rsidR="006D0FD9" w:rsidRDefault="006D0FD9">
      <w:pPr>
        <w:pStyle w:val="FootnoteText"/>
      </w:pPr>
      <w:r>
        <w:rPr>
          <w:rStyle w:val="FootnoteReference"/>
        </w:rPr>
        <w:footnoteRef/>
      </w:r>
      <w:r>
        <w:t xml:space="preserve"> </w:t>
      </w:r>
      <w:r w:rsidRPr="00AD240F">
        <w:t>For additional information</w:t>
      </w:r>
      <w:r>
        <w:t xml:space="preserve"> about the PCMH Core Functions and Attributes</w:t>
      </w:r>
      <w:r w:rsidRPr="00AD240F">
        <w:t xml:space="preserve">, visit: </w:t>
      </w:r>
      <w:hyperlink r:id="rId1" w:tooltip="PCMH Core Functions and Attributes" w:history="1">
        <w:r w:rsidRPr="00AD240F">
          <w:rPr>
            <w:rStyle w:val="Hyperlink"/>
            <w:rFonts w:cs="Calibri"/>
          </w:rPr>
          <w:t>https://pcmh.ahrq.gov/page/defining-pcmh</w:t>
        </w:r>
      </w:hyperlink>
      <w:r>
        <w:t>.</w:t>
      </w:r>
    </w:p>
  </w:footnote>
  <w:footnote w:id="6">
    <w:p w:rsidR="00C04695" w:rsidRDefault="00C04695">
      <w:pPr>
        <w:pStyle w:val="FootnoteText"/>
      </w:pPr>
      <w:r>
        <w:rPr>
          <w:rStyle w:val="FootnoteReference"/>
        </w:rPr>
        <w:footnoteRef/>
      </w:r>
      <w:r>
        <w:t xml:space="preserve"> </w:t>
      </w:r>
      <w:r w:rsidRPr="00C04695">
        <w:t xml:space="preserve">For the purposes of this funding opportunity announcement, “certified EHR” refers to health IT products certified by the Office of the National Coordinator (ONC) for Health IT Authorized Testing and Certification Body. For further information about ONC certified health IT products, see </w:t>
      </w:r>
      <w:hyperlink r:id="rId2" w:tooltip="ONC certified health IT products" w:history="1">
        <w:r w:rsidRPr="00C04695">
          <w:rPr>
            <w:rStyle w:val="Hyperlink"/>
            <w:rFonts w:cs="Calibri"/>
          </w:rPr>
          <w:t>http://onc-chpl.force.com/ehrcert</w:t>
        </w:r>
      </w:hyperlink>
      <w:r w:rsidRPr="00C04695">
        <w:t xml:space="preserve">. </w:t>
      </w:r>
    </w:p>
  </w:footnote>
  <w:footnote w:id="7">
    <w:p w:rsidR="006D0FD9" w:rsidRDefault="006D0FD9">
      <w:pPr>
        <w:pStyle w:val="FootnoteText"/>
      </w:pPr>
      <w:r>
        <w:rPr>
          <w:rStyle w:val="FootnoteReference"/>
        </w:rPr>
        <w:footnoteRef/>
      </w:r>
      <w:r>
        <w:t xml:space="preserve"> For details on 45 CFR Part 75, see </w:t>
      </w:r>
      <w:hyperlink r:id="rId3" w:tooltip="45 CFR Part 75" w:history="1">
        <w:r w:rsidRPr="004423B4">
          <w:rPr>
            <w:rStyle w:val="Hyperlink"/>
            <w:rFonts w:cs="Calibri"/>
          </w:rPr>
          <w:t>http://www.ecfr.gov/cgi-bin/text-idx?node=pt45.1.75</w:t>
        </w:r>
      </w:hyperlink>
      <w:r>
        <w:t>.</w:t>
      </w:r>
    </w:p>
  </w:footnote>
  <w:footnote w:id="8">
    <w:p w:rsidR="006D0FD9" w:rsidRDefault="006D0FD9">
      <w:pPr>
        <w:pStyle w:val="FootnoteText"/>
      </w:pPr>
      <w:r>
        <w:rPr>
          <w:rStyle w:val="FootnoteReference"/>
        </w:rPr>
        <w:footnoteRef/>
      </w:r>
      <w:r>
        <w:t xml:space="preserve">For allowable costs, see </w:t>
      </w:r>
      <w:hyperlink r:id="rId4" w:tooltip="allowable costs" w:history="1">
        <w:r w:rsidRPr="00AC0325">
          <w:rPr>
            <w:rStyle w:val="Hyperlink"/>
            <w:rFonts w:cs="Calibri"/>
          </w:rPr>
          <w:t>http://www.hhs.gov/sites/default/files/grants/grants/policies-regulations/hhsgps107.pdf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rsidP="00A11542">
    <w:pPr>
      <w:pStyle w:val="Header"/>
      <w:tabs>
        <w:tab w:val="left" w:pos="398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pPr>
      <w:pStyle w:val="Header"/>
    </w:pPr>
  </w:p>
  <w:p w:rsidR="006D0FD9" w:rsidRDefault="006D0F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pPr>
      <w:pStyle w:val="Header"/>
    </w:pPr>
  </w:p>
  <w:p w:rsidR="006D0FD9" w:rsidRDefault="006D0F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381"/>
    <w:multiLevelType w:val="hybridMultilevel"/>
    <w:tmpl w:val="BB3EC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4505D"/>
    <w:multiLevelType w:val="hybridMultilevel"/>
    <w:tmpl w:val="040EF9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47E63"/>
    <w:multiLevelType w:val="hybridMultilevel"/>
    <w:tmpl w:val="00000000"/>
    <w:lvl w:ilvl="0" w:tplc="8EBC6BE2">
      <w:start w:val="1"/>
      <w:numFmt w:val="bullet"/>
      <w:lvlText w:val="·"/>
      <w:lvlJc w:val="left"/>
      <w:pPr>
        <w:tabs>
          <w:tab w:val="num" w:pos="720"/>
        </w:tabs>
        <w:ind w:left="720" w:hanging="360"/>
      </w:pPr>
      <w:rPr>
        <w:rFonts w:ascii="Symbol" w:hAnsi="Symbol"/>
      </w:rPr>
    </w:lvl>
    <w:lvl w:ilvl="1" w:tplc="585ADE8C">
      <w:start w:val="1"/>
      <w:numFmt w:val="bullet"/>
      <w:lvlText w:val="·"/>
      <w:lvlJc w:val="left"/>
      <w:pPr>
        <w:tabs>
          <w:tab w:val="num" w:pos="1440"/>
        </w:tabs>
        <w:ind w:left="1440" w:hanging="360"/>
      </w:pPr>
      <w:rPr>
        <w:rFonts w:ascii="Symbol" w:hAnsi="Symbol"/>
      </w:rPr>
    </w:lvl>
    <w:lvl w:ilvl="2" w:tplc="52A60D78">
      <w:start w:val="1"/>
      <w:numFmt w:val="bullet"/>
      <w:lvlText w:val="·"/>
      <w:lvlJc w:val="left"/>
      <w:pPr>
        <w:tabs>
          <w:tab w:val="num" w:pos="2160"/>
        </w:tabs>
        <w:ind w:left="2160" w:hanging="360"/>
      </w:pPr>
      <w:rPr>
        <w:rFonts w:ascii="Symbol" w:hAnsi="Symbol"/>
      </w:rPr>
    </w:lvl>
    <w:lvl w:ilvl="3" w:tplc="38A8F9E2">
      <w:start w:val="1"/>
      <w:numFmt w:val="bullet"/>
      <w:lvlText w:val="·"/>
      <w:lvlJc w:val="left"/>
      <w:pPr>
        <w:tabs>
          <w:tab w:val="num" w:pos="2880"/>
        </w:tabs>
        <w:ind w:left="2880" w:hanging="360"/>
      </w:pPr>
      <w:rPr>
        <w:rFonts w:ascii="Symbol" w:hAnsi="Symbol"/>
      </w:rPr>
    </w:lvl>
    <w:lvl w:ilvl="4" w:tplc="05669340">
      <w:start w:val="1"/>
      <w:numFmt w:val="bullet"/>
      <w:lvlText w:val="·"/>
      <w:lvlJc w:val="left"/>
      <w:pPr>
        <w:tabs>
          <w:tab w:val="num" w:pos="3600"/>
        </w:tabs>
        <w:ind w:left="3600" w:hanging="360"/>
      </w:pPr>
      <w:rPr>
        <w:rFonts w:ascii="Symbol" w:hAnsi="Symbol"/>
      </w:rPr>
    </w:lvl>
    <w:lvl w:ilvl="5" w:tplc="741858F0">
      <w:start w:val="1"/>
      <w:numFmt w:val="bullet"/>
      <w:lvlText w:val="·"/>
      <w:lvlJc w:val="left"/>
      <w:pPr>
        <w:tabs>
          <w:tab w:val="num" w:pos="4320"/>
        </w:tabs>
        <w:ind w:left="4320" w:hanging="360"/>
      </w:pPr>
      <w:rPr>
        <w:rFonts w:ascii="Symbol" w:hAnsi="Symbol"/>
      </w:rPr>
    </w:lvl>
    <w:lvl w:ilvl="6" w:tplc="55FCF9EA">
      <w:start w:val="1"/>
      <w:numFmt w:val="bullet"/>
      <w:lvlText w:val="·"/>
      <w:lvlJc w:val="left"/>
      <w:pPr>
        <w:tabs>
          <w:tab w:val="num" w:pos="5040"/>
        </w:tabs>
        <w:ind w:left="5040" w:hanging="360"/>
      </w:pPr>
      <w:rPr>
        <w:rFonts w:ascii="Symbol" w:hAnsi="Symbol"/>
      </w:rPr>
    </w:lvl>
    <w:lvl w:ilvl="7" w:tplc="1E5AECC2">
      <w:start w:val="1"/>
      <w:numFmt w:val="bullet"/>
      <w:lvlText w:val="·"/>
      <w:lvlJc w:val="left"/>
      <w:pPr>
        <w:tabs>
          <w:tab w:val="num" w:pos="5760"/>
        </w:tabs>
        <w:ind w:left="5760" w:hanging="360"/>
      </w:pPr>
      <w:rPr>
        <w:rFonts w:ascii="Symbol" w:hAnsi="Symbol"/>
      </w:rPr>
    </w:lvl>
    <w:lvl w:ilvl="8" w:tplc="7E089742">
      <w:start w:val="1"/>
      <w:numFmt w:val="bullet"/>
      <w:lvlText w:val="·"/>
      <w:lvlJc w:val="left"/>
      <w:pPr>
        <w:tabs>
          <w:tab w:val="num" w:pos="6480"/>
        </w:tabs>
        <w:ind w:left="6480" w:hanging="360"/>
      </w:pPr>
      <w:rPr>
        <w:rFonts w:ascii="Symbol" w:hAnsi="Symbol"/>
      </w:rPr>
    </w:lvl>
  </w:abstractNum>
  <w:abstractNum w:abstractNumId="3">
    <w:nsid w:val="0E9238AC"/>
    <w:multiLevelType w:val="hybridMultilevel"/>
    <w:tmpl w:val="C450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F3725"/>
    <w:multiLevelType w:val="hybridMultilevel"/>
    <w:tmpl w:val="69102B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CF3C67"/>
    <w:multiLevelType w:val="multilevel"/>
    <w:tmpl w:val="E87A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396563"/>
    <w:multiLevelType w:val="hybridMultilevel"/>
    <w:tmpl w:val="BC7C6148"/>
    <w:lvl w:ilvl="0" w:tplc="8F4860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A6B78"/>
    <w:multiLevelType w:val="hybridMultilevel"/>
    <w:tmpl w:val="60E6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749A0"/>
    <w:multiLevelType w:val="hybridMultilevel"/>
    <w:tmpl w:val="91366E82"/>
    <w:lvl w:ilvl="0" w:tplc="0BBA44D4">
      <w:start w:val="1"/>
      <w:numFmt w:val="decimal"/>
      <w:lvlText w:val="%1."/>
      <w:lvlJc w:val="left"/>
      <w:pPr>
        <w:ind w:left="360" w:hanging="360"/>
      </w:pPr>
      <w:rPr>
        <w:rFonts w:asciiTheme="minorHAnsi" w:hAnsiTheme="min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AE5E95"/>
    <w:multiLevelType w:val="hybridMultilevel"/>
    <w:tmpl w:val="6E529D42"/>
    <w:lvl w:ilvl="0" w:tplc="529815A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0F438C1"/>
    <w:multiLevelType w:val="hybridMultilevel"/>
    <w:tmpl w:val="EA7E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F1A"/>
    <w:multiLevelType w:val="hybridMultilevel"/>
    <w:tmpl w:val="281E54A4"/>
    <w:lvl w:ilvl="0" w:tplc="AF4EEE9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6BC1B7C"/>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6BF77E6"/>
    <w:multiLevelType w:val="hybridMultilevel"/>
    <w:tmpl w:val="A17C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C413E5"/>
    <w:multiLevelType w:val="hybridMultilevel"/>
    <w:tmpl w:val="BD04EEF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30C6A1B"/>
    <w:multiLevelType w:val="hybridMultilevel"/>
    <w:tmpl w:val="9990B946"/>
    <w:lvl w:ilvl="0" w:tplc="D8445DB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96F07"/>
    <w:multiLevelType w:val="hybridMultilevel"/>
    <w:tmpl w:val="0C7444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A3C57"/>
    <w:multiLevelType w:val="hybridMultilevel"/>
    <w:tmpl w:val="103AEDB8"/>
    <w:lvl w:ilvl="0" w:tplc="EAA085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3940B3A"/>
    <w:multiLevelType w:val="hybridMultilevel"/>
    <w:tmpl w:val="C21E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76560"/>
    <w:multiLevelType w:val="hybridMultilevel"/>
    <w:tmpl w:val="B0E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207878"/>
    <w:multiLevelType w:val="hybridMultilevel"/>
    <w:tmpl w:val="01AC8540"/>
    <w:lvl w:ilvl="0" w:tplc="71C290EE">
      <w:start w:val="1"/>
      <w:numFmt w:val="decimal"/>
      <w:lvlText w:val="%1."/>
      <w:lvlJc w:val="left"/>
      <w:pPr>
        <w:tabs>
          <w:tab w:val="num" w:pos="720"/>
        </w:tabs>
        <w:ind w:left="720" w:hanging="360"/>
      </w:pPr>
      <w:rPr>
        <w:rFonts w:ascii="Calibri" w:hAnsi="Calibri"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CB12A43"/>
    <w:multiLevelType w:val="hybridMultilevel"/>
    <w:tmpl w:val="079A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33F67"/>
    <w:multiLevelType w:val="hybridMultilevel"/>
    <w:tmpl w:val="D3B46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6E4E54"/>
    <w:multiLevelType w:val="hybridMultilevel"/>
    <w:tmpl w:val="876E1E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1051DC"/>
    <w:multiLevelType w:val="hybridMultilevel"/>
    <w:tmpl w:val="546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23C6A"/>
    <w:multiLevelType w:val="hybridMultilevel"/>
    <w:tmpl w:val="61EC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AF4636"/>
    <w:multiLevelType w:val="hybridMultilevel"/>
    <w:tmpl w:val="77405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A5347A"/>
    <w:multiLevelType w:val="hybridMultilevel"/>
    <w:tmpl w:val="5604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3B0411"/>
    <w:multiLevelType w:val="hybridMultilevel"/>
    <w:tmpl w:val="F3049F16"/>
    <w:lvl w:ilvl="0" w:tplc="529815A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DF15791"/>
    <w:multiLevelType w:val="hybridMultilevel"/>
    <w:tmpl w:val="1CC2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92A40"/>
    <w:multiLevelType w:val="hybridMultilevel"/>
    <w:tmpl w:val="355C7844"/>
    <w:lvl w:ilvl="0" w:tplc="C1FC83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5"/>
  </w:num>
  <w:num w:numId="3">
    <w:abstractNumId w:val="29"/>
  </w:num>
  <w:num w:numId="4">
    <w:abstractNumId w:val="20"/>
  </w:num>
  <w:num w:numId="5">
    <w:abstractNumId w:val="16"/>
  </w:num>
  <w:num w:numId="6">
    <w:abstractNumId w:val="14"/>
  </w:num>
  <w:num w:numId="7">
    <w:abstractNumId w:val="1"/>
  </w:num>
  <w:num w:numId="8">
    <w:abstractNumId w:val="21"/>
  </w:num>
  <w:num w:numId="9">
    <w:abstractNumId w:val="9"/>
  </w:num>
  <w:num w:numId="10">
    <w:abstractNumId w:val="28"/>
  </w:num>
  <w:num w:numId="11">
    <w:abstractNumId w:val="15"/>
  </w:num>
  <w:num w:numId="12">
    <w:abstractNumId w:val="11"/>
  </w:num>
  <w:num w:numId="13">
    <w:abstractNumId w:val="22"/>
  </w:num>
  <w:num w:numId="14">
    <w:abstractNumId w:val="19"/>
  </w:num>
  <w:num w:numId="15">
    <w:abstractNumId w:val="12"/>
  </w:num>
  <w:num w:numId="16">
    <w:abstractNumId w:val="17"/>
  </w:num>
  <w:num w:numId="17">
    <w:abstractNumId w:val="5"/>
  </w:num>
  <w:num w:numId="18">
    <w:abstractNumId w:val="5"/>
  </w:num>
  <w:num w:numId="19">
    <w:abstractNumId w:val="3"/>
  </w:num>
  <w:num w:numId="20">
    <w:abstractNumId w:val="10"/>
  </w:num>
  <w:num w:numId="21">
    <w:abstractNumId w:val="18"/>
  </w:num>
  <w:num w:numId="22">
    <w:abstractNumId w:val="7"/>
  </w:num>
  <w:num w:numId="23">
    <w:abstractNumId w:val="24"/>
  </w:num>
  <w:num w:numId="24">
    <w:abstractNumId w:val="4"/>
  </w:num>
  <w:num w:numId="25">
    <w:abstractNumId w:val="8"/>
  </w:num>
  <w:num w:numId="26">
    <w:abstractNumId w:val="30"/>
  </w:num>
  <w:num w:numId="27">
    <w:abstractNumId w:val="26"/>
  </w:num>
  <w:num w:numId="28">
    <w:abstractNumId w:val="0"/>
  </w:num>
  <w:num w:numId="29">
    <w:abstractNumId w:val="27"/>
  </w:num>
  <w:num w:numId="30">
    <w:abstractNumId w:val="13"/>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0207C"/>
    <w:rsid w:val="00003FAF"/>
    <w:rsid w:val="00011814"/>
    <w:rsid w:val="00017901"/>
    <w:rsid w:val="00021F99"/>
    <w:rsid w:val="000264B9"/>
    <w:rsid w:val="00026548"/>
    <w:rsid w:val="00033CA0"/>
    <w:rsid w:val="000356D7"/>
    <w:rsid w:val="000424D2"/>
    <w:rsid w:val="00042F2E"/>
    <w:rsid w:val="00045376"/>
    <w:rsid w:val="00050058"/>
    <w:rsid w:val="0005440C"/>
    <w:rsid w:val="000560E4"/>
    <w:rsid w:val="00056B3E"/>
    <w:rsid w:val="00056FEC"/>
    <w:rsid w:val="00057BB2"/>
    <w:rsid w:val="00061A94"/>
    <w:rsid w:val="000666DD"/>
    <w:rsid w:val="00080C2B"/>
    <w:rsid w:val="00081AE5"/>
    <w:rsid w:val="00086357"/>
    <w:rsid w:val="00086AC6"/>
    <w:rsid w:val="00087A32"/>
    <w:rsid w:val="000903A1"/>
    <w:rsid w:val="0009129C"/>
    <w:rsid w:val="0009187F"/>
    <w:rsid w:val="000944F0"/>
    <w:rsid w:val="00097A39"/>
    <w:rsid w:val="000A3CEE"/>
    <w:rsid w:val="000A41B0"/>
    <w:rsid w:val="000A5E66"/>
    <w:rsid w:val="000B219C"/>
    <w:rsid w:val="000B62AB"/>
    <w:rsid w:val="000B6D3B"/>
    <w:rsid w:val="000C49D2"/>
    <w:rsid w:val="000C5B81"/>
    <w:rsid w:val="000D1589"/>
    <w:rsid w:val="000D4D04"/>
    <w:rsid w:val="000D5DD6"/>
    <w:rsid w:val="000E0328"/>
    <w:rsid w:val="000E74DB"/>
    <w:rsid w:val="000F2BB4"/>
    <w:rsid w:val="000F49CB"/>
    <w:rsid w:val="000F6C0B"/>
    <w:rsid w:val="000F6FF9"/>
    <w:rsid w:val="00100A4D"/>
    <w:rsid w:val="00100E0A"/>
    <w:rsid w:val="00101E25"/>
    <w:rsid w:val="00101F3A"/>
    <w:rsid w:val="001056C1"/>
    <w:rsid w:val="00106028"/>
    <w:rsid w:val="001105E2"/>
    <w:rsid w:val="001114D9"/>
    <w:rsid w:val="00113719"/>
    <w:rsid w:val="00120E3C"/>
    <w:rsid w:val="00125963"/>
    <w:rsid w:val="00135E4A"/>
    <w:rsid w:val="00140BB4"/>
    <w:rsid w:val="00141551"/>
    <w:rsid w:val="00147326"/>
    <w:rsid w:val="00147B64"/>
    <w:rsid w:val="0015166A"/>
    <w:rsid w:val="00153267"/>
    <w:rsid w:val="00160D90"/>
    <w:rsid w:val="00162CFA"/>
    <w:rsid w:val="001660B8"/>
    <w:rsid w:val="001677A6"/>
    <w:rsid w:val="00167A96"/>
    <w:rsid w:val="00167B57"/>
    <w:rsid w:val="0017133A"/>
    <w:rsid w:val="00173F88"/>
    <w:rsid w:val="00177580"/>
    <w:rsid w:val="00180404"/>
    <w:rsid w:val="00182023"/>
    <w:rsid w:val="00190600"/>
    <w:rsid w:val="00192B50"/>
    <w:rsid w:val="00196BC0"/>
    <w:rsid w:val="00196DB3"/>
    <w:rsid w:val="001A4CFA"/>
    <w:rsid w:val="001A4EFD"/>
    <w:rsid w:val="001A7C2C"/>
    <w:rsid w:val="001B7125"/>
    <w:rsid w:val="001C0059"/>
    <w:rsid w:val="001C325B"/>
    <w:rsid w:val="001C6D08"/>
    <w:rsid w:val="001D39BB"/>
    <w:rsid w:val="001D3A3B"/>
    <w:rsid w:val="001D66DB"/>
    <w:rsid w:val="001E2A50"/>
    <w:rsid w:val="001F01E6"/>
    <w:rsid w:val="001F5FC4"/>
    <w:rsid w:val="001F66D6"/>
    <w:rsid w:val="001F7681"/>
    <w:rsid w:val="00201D21"/>
    <w:rsid w:val="0020604C"/>
    <w:rsid w:val="002073B3"/>
    <w:rsid w:val="00210855"/>
    <w:rsid w:val="00211EE7"/>
    <w:rsid w:val="00212C7D"/>
    <w:rsid w:val="002134CF"/>
    <w:rsid w:val="00223606"/>
    <w:rsid w:val="00223643"/>
    <w:rsid w:val="002274D8"/>
    <w:rsid w:val="00227C61"/>
    <w:rsid w:val="00227F7C"/>
    <w:rsid w:val="00233BC4"/>
    <w:rsid w:val="0023649D"/>
    <w:rsid w:val="00236C9E"/>
    <w:rsid w:val="00241386"/>
    <w:rsid w:val="002415BA"/>
    <w:rsid w:val="002421D8"/>
    <w:rsid w:val="00242C6D"/>
    <w:rsid w:val="0024334B"/>
    <w:rsid w:val="00243CF6"/>
    <w:rsid w:val="002464B1"/>
    <w:rsid w:val="00252EB2"/>
    <w:rsid w:val="00252EDE"/>
    <w:rsid w:val="00255521"/>
    <w:rsid w:val="0026333E"/>
    <w:rsid w:val="00265222"/>
    <w:rsid w:val="00270A24"/>
    <w:rsid w:val="002714C4"/>
    <w:rsid w:val="00274632"/>
    <w:rsid w:val="00275431"/>
    <w:rsid w:val="00285564"/>
    <w:rsid w:val="00287698"/>
    <w:rsid w:val="002964BE"/>
    <w:rsid w:val="002A011C"/>
    <w:rsid w:val="002A3B7D"/>
    <w:rsid w:val="002A4B0C"/>
    <w:rsid w:val="002B4866"/>
    <w:rsid w:val="002C2938"/>
    <w:rsid w:val="002C5A3B"/>
    <w:rsid w:val="002D0F24"/>
    <w:rsid w:val="002D12B4"/>
    <w:rsid w:val="002D6DA8"/>
    <w:rsid w:val="002E141F"/>
    <w:rsid w:val="002E1CE6"/>
    <w:rsid w:val="002E4823"/>
    <w:rsid w:val="002E5E32"/>
    <w:rsid w:val="002F2F57"/>
    <w:rsid w:val="00304E3F"/>
    <w:rsid w:val="00310037"/>
    <w:rsid w:val="00310E8B"/>
    <w:rsid w:val="00313DA3"/>
    <w:rsid w:val="00317C48"/>
    <w:rsid w:val="003220C2"/>
    <w:rsid w:val="00322B34"/>
    <w:rsid w:val="0032410C"/>
    <w:rsid w:val="003264F1"/>
    <w:rsid w:val="003309DD"/>
    <w:rsid w:val="00332CFE"/>
    <w:rsid w:val="0033308F"/>
    <w:rsid w:val="00336F0E"/>
    <w:rsid w:val="00337DA0"/>
    <w:rsid w:val="0034099D"/>
    <w:rsid w:val="00342E98"/>
    <w:rsid w:val="003454C9"/>
    <w:rsid w:val="0034777F"/>
    <w:rsid w:val="0035013B"/>
    <w:rsid w:val="003575B9"/>
    <w:rsid w:val="00360F5E"/>
    <w:rsid w:val="00364A23"/>
    <w:rsid w:val="00364ABE"/>
    <w:rsid w:val="00365B9B"/>
    <w:rsid w:val="003670C4"/>
    <w:rsid w:val="003762D8"/>
    <w:rsid w:val="00380EBF"/>
    <w:rsid w:val="00380F15"/>
    <w:rsid w:val="0038335B"/>
    <w:rsid w:val="00397672"/>
    <w:rsid w:val="003977B2"/>
    <w:rsid w:val="003A275C"/>
    <w:rsid w:val="003B272A"/>
    <w:rsid w:val="003B2BF2"/>
    <w:rsid w:val="003B30B0"/>
    <w:rsid w:val="003B720C"/>
    <w:rsid w:val="003C34AF"/>
    <w:rsid w:val="003C3E08"/>
    <w:rsid w:val="003C3EF5"/>
    <w:rsid w:val="003C5C91"/>
    <w:rsid w:val="003C6601"/>
    <w:rsid w:val="003E01FF"/>
    <w:rsid w:val="003F0971"/>
    <w:rsid w:val="003F1234"/>
    <w:rsid w:val="003F7D5C"/>
    <w:rsid w:val="004014F7"/>
    <w:rsid w:val="00401651"/>
    <w:rsid w:val="00401808"/>
    <w:rsid w:val="004026CE"/>
    <w:rsid w:val="004040AC"/>
    <w:rsid w:val="00404F44"/>
    <w:rsid w:val="00406279"/>
    <w:rsid w:val="00406B54"/>
    <w:rsid w:val="00411345"/>
    <w:rsid w:val="00416DC9"/>
    <w:rsid w:val="004178C7"/>
    <w:rsid w:val="00417E6A"/>
    <w:rsid w:val="004220E3"/>
    <w:rsid w:val="00422C30"/>
    <w:rsid w:val="00432C26"/>
    <w:rsid w:val="00432C7B"/>
    <w:rsid w:val="004367E0"/>
    <w:rsid w:val="00440C07"/>
    <w:rsid w:val="0044581A"/>
    <w:rsid w:val="00446EF8"/>
    <w:rsid w:val="004500F4"/>
    <w:rsid w:val="0045100C"/>
    <w:rsid w:val="00453C31"/>
    <w:rsid w:val="0045739D"/>
    <w:rsid w:val="004575CA"/>
    <w:rsid w:val="004605B3"/>
    <w:rsid w:val="004613A2"/>
    <w:rsid w:val="004627BF"/>
    <w:rsid w:val="00463AF6"/>
    <w:rsid w:val="00464387"/>
    <w:rsid w:val="00464E6C"/>
    <w:rsid w:val="00474DF0"/>
    <w:rsid w:val="004767B3"/>
    <w:rsid w:val="00480DAA"/>
    <w:rsid w:val="0048223C"/>
    <w:rsid w:val="00482907"/>
    <w:rsid w:val="00483150"/>
    <w:rsid w:val="0048342F"/>
    <w:rsid w:val="004846C7"/>
    <w:rsid w:val="00485E12"/>
    <w:rsid w:val="00491732"/>
    <w:rsid w:val="00491AB6"/>
    <w:rsid w:val="00493A69"/>
    <w:rsid w:val="004945C4"/>
    <w:rsid w:val="00494883"/>
    <w:rsid w:val="004A237D"/>
    <w:rsid w:val="004B04D3"/>
    <w:rsid w:val="004B57A5"/>
    <w:rsid w:val="004B6DDC"/>
    <w:rsid w:val="004C078D"/>
    <w:rsid w:val="004C4560"/>
    <w:rsid w:val="004C6C2A"/>
    <w:rsid w:val="004D4464"/>
    <w:rsid w:val="004D46E8"/>
    <w:rsid w:val="004E36E3"/>
    <w:rsid w:val="005022D4"/>
    <w:rsid w:val="00505261"/>
    <w:rsid w:val="00513350"/>
    <w:rsid w:val="00516755"/>
    <w:rsid w:val="0051746C"/>
    <w:rsid w:val="00523D07"/>
    <w:rsid w:val="00531758"/>
    <w:rsid w:val="005323A4"/>
    <w:rsid w:val="00532CEA"/>
    <w:rsid w:val="005361E6"/>
    <w:rsid w:val="00537A93"/>
    <w:rsid w:val="005405A2"/>
    <w:rsid w:val="00542B00"/>
    <w:rsid w:val="00542C65"/>
    <w:rsid w:val="0054707B"/>
    <w:rsid w:val="00562FB6"/>
    <w:rsid w:val="00564CB1"/>
    <w:rsid w:val="00573E20"/>
    <w:rsid w:val="00585853"/>
    <w:rsid w:val="005866CA"/>
    <w:rsid w:val="00592170"/>
    <w:rsid w:val="00593013"/>
    <w:rsid w:val="005962E7"/>
    <w:rsid w:val="005969BA"/>
    <w:rsid w:val="005A022D"/>
    <w:rsid w:val="005A5BFE"/>
    <w:rsid w:val="005A691B"/>
    <w:rsid w:val="005A70B4"/>
    <w:rsid w:val="005B15C4"/>
    <w:rsid w:val="005B1846"/>
    <w:rsid w:val="005B4B8B"/>
    <w:rsid w:val="005B4C0B"/>
    <w:rsid w:val="005B7630"/>
    <w:rsid w:val="005C4786"/>
    <w:rsid w:val="005C62C4"/>
    <w:rsid w:val="005D0C7C"/>
    <w:rsid w:val="005D0DF7"/>
    <w:rsid w:val="005D3FC3"/>
    <w:rsid w:val="005E49D0"/>
    <w:rsid w:val="005E5B23"/>
    <w:rsid w:val="005E675F"/>
    <w:rsid w:val="005F02BF"/>
    <w:rsid w:val="005F0AC2"/>
    <w:rsid w:val="005F294F"/>
    <w:rsid w:val="005F4956"/>
    <w:rsid w:val="005F6439"/>
    <w:rsid w:val="005F6E5F"/>
    <w:rsid w:val="005F72C1"/>
    <w:rsid w:val="005F7381"/>
    <w:rsid w:val="00600961"/>
    <w:rsid w:val="0060469A"/>
    <w:rsid w:val="00611996"/>
    <w:rsid w:val="00612D8C"/>
    <w:rsid w:val="00621711"/>
    <w:rsid w:val="00625776"/>
    <w:rsid w:val="0062674E"/>
    <w:rsid w:val="0062757F"/>
    <w:rsid w:val="0063170E"/>
    <w:rsid w:val="00633361"/>
    <w:rsid w:val="00634578"/>
    <w:rsid w:val="00634BF9"/>
    <w:rsid w:val="00636104"/>
    <w:rsid w:val="00637655"/>
    <w:rsid w:val="00637F5A"/>
    <w:rsid w:val="006444AA"/>
    <w:rsid w:val="00653A14"/>
    <w:rsid w:val="006546F7"/>
    <w:rsid w:val="00660CE9"/>
    <w:rsid w:val="00662145"/>
    <w:rsid w:val="0066386F"/>
    <w:rsid w:val="00666F86"/>
    <w:rsid w:val="006841CD"/>
    <w:rsid w:val="00684C3E"/>
    <w:rsid w:val="00691AA9"/>
    <w:rsid w:val="00692D43"/>
    <w:rsid w:val="00693704"/>
    <w:rsid w:val="0069679B"/>
    <w:rsid w:val="006A0BA2"/>
    <w:rsid w:val="006A385C"/>
    <w:rsid w:val="006C696C"/>
    <w:rsid w:val="006D0D86"/>
    <w:rsid w:val="006D0FD9"/>
    <w:rsid w:val="006D3F73"/>
    <w:rsid w:val="006D46E3"/>
    <w:rsid w:val="006D5C1E"/>
    <w:rsid w:val="006E5D08"/>
    <w:rsid w:val="006E6053"/>
    <w:rsid w:val="006F2990"/>
    <w:rsid w:val="006F5ED1"/>
    <w:rsid w:val="00700712"/>
    <w:rsid w:val="00700F5E"/>
    <w:rsid w:val="0070244F"/>
    <w:rsid w:val="00705777"/>
    <w:rsid w:val="00706655"/>
    <w:rsid w:val="00717B10"/>
    <w:rsid w:val="007257A4"/>
    <w:rsid w:val="00726DA2"/>
    <w:rsid w:val="00731CE3"/>
    <w:rsid w:val="00731E41"/>
    <w:rsid w:val="00732743"/>
    <w:rsid w:val="0073587A"/>
    <w:rsid w:val="007378FB"/>
    <w:rsid w:val="00742F64"/>
    <w:rsid w:val="00744163"/>
    <w:rsid w:val="0074450B"/>
    <w:rsid w:val="007446FD"/>
    <w:rsid w:val="00754943"/>
    <w:rsid w:val="00755FEE"/>
    <w:rsid w:val="00756219"/>
    <w:rsid w:val="007648EF"/>
    <w:rsid w:val="0076650E"/>
    <w:rsid w:val="00767289"/>
    <w:rsid w:val="007769E0"/>
    <w:rsid w:val="00780075"/>
    <w:rsid w:val="00782910"/>
    <w:rsid w:val="00784506"/>
    <w:rsid w:val="00786898"/>
    <w:rsid w:val="00791E9A"/>
    <w:rsid w:val="00796043"/>
    <w:rsid w:val="007B1C91"/>
    <w:rsid w:val="007B1FB7"/>
    <w:rsid w:val="007B345B"/>
    <w:rsid w:val="007B3FE3"/>
    <w:rsid w:val="007B4C55"/>
    <w:rsid w:val="007B5787"/>
    <w:rsid w:val="007D6ECB"/>
    <w:rsid w:val="007E64B7"/>
    <w:rsid w:val="007E69A9"/>
    <w:rsid w:val="007E6DC1"/>
    <w:rsid w:val="007F0542"/>
    <w:rsid w:val="007F206B"/>
    <w:rsid w:val="007F3BFF"/>
    <w:rsid w:val="007F3C33"/>
    <w:rsid w:val="007F408E"/>
    <w:rsid w:val="007F76DD"/>
    <w:rsid w:val="00803F1D"/>
    <w:rsid w:val="00804360"/>
    <w:rsid w:val="00805C32"/>
    <w:rsid w:val="00813242"/>
    <w:rsid w:val="008158DC"/>
    <w:rsid w:val="00817F1A"/>
    <w:rsid w:val="0082646E"/>
    <w:rsid w:val="008271FB"/>
    <w:rsid w:val="00831268"/>
    <w:rsid w:val="008361E0"/>
    <w:rsid w:val="0084084A"/>
    <w:rsid w:val="008455E1"/>
    <w:rsid w:val="008528E7"/>
    <w:rsid w:val="00855806"/>
    <w:rsid w:val="0086303D"/>
    <w:rsid w:val="008641C3"/>
    <w:rsid w:val="00864753"/>
    <w:rsid w:val="00865A5A"/>
    <w:rsid w:val="00874B51"/>
    <w:rsid w:val="00876515"/>
    <w:rsid w:val="0088281C"/>
    <w:rsid w:val="00892287"/>
    <w:rsid w:val="008A0433"/>
    <w:rsid w:val="008A108B"/>
    <w:rsid w:val="008A4CA7"/>
    <w:rsid w:val="008A624A"/>
    <w:rsid w:val="008A72B7"/>
    <w:rsid w:val="008B09EA"/>
    <w:rsid w:val="008B43EB"/>
    <w:rsid w:val="008B6B5A"/>
    <w:rsid w:val="008C1AB9"/>
    <w:rsid w:val="008C2A04"/>
    <w:rsid w:val="008C455D"/>
    <w:rsid w:val="008C532E"/>
    <w:rsid w:val="008D3745"/>
    <w:rsid w:val="008D5978"/>
    <w:rsid w:val="008D7B88"/>
    <w:rsid w:val="008E36F7"/>
    <w:rsid w:val="008E5815"/>
    <w:rsid w:val="008F1776"/>
    <w:rsid w:val="008F32CD"/>
    <w:rsid w:val="008F59C5"/>
    <w:rsid w:val="008F65E8"/>
    <w:rsid w:val="0090496A"/>
    <w:rsid w:val="00906080"/>
    <w:rsid w:val="00907873"/>
    <w:rsid w:val="0091147B"/>
    <w:rsid w:val="009121FA"/>
    <w:rsid w:val="00912633"/>
    <w:rsid w:val="00913246"/>
    <w:rsid w:val="0091693F"/>
    <w:rsid w:val="00922D31"/>
    <w:rsid w:val="009253EF"/>
    <w:rsid w:val="009335FD"/>
    <w:rsid w:val="009403CA"/>
    <w:rsid w:val="00940DA0"/>
    <w:rsid w:val="009427BC"/>
    <w:rsid w:val="0094673F"/>
    <w:rsid w:val="00947392"/>
    <w:rsid w:val="00951E5B"/>
    <w:rsid w:val="00956F1C"/>
    <w:rsid w:val="00976105"/>
    <w:rsid w:val="00990843"/>
    <w:rsid w:val="00991A55"/>
    <w:rsid w:val="009920F9"/>
    <w:rsid w:val="00995BA0"/>
    <w:rsid w:val="009A177C"/>
    <w:rsid w:val="009A3752"/>
    <w:rsid w:val="009A3EA6"/>
    <w:rsid w:val="009A68DC"/>
    <w:rsid w:val="009B0371"/>
    <w:rsid w:val="009B1C56"/>
    <w:rsid w:val="009C0B43"/>
    <w:rsid w:val="009D09CF"/>
    <w:rsid w:val="009D1AE4"/>
    <w:rsid w:val="009D1C80"/>
    <w:rsid w:val="009D31A2"/>
    <w:rsid w:val="009F0DD7"/>
    <w:rsid w:val="009F41DA"/>
    <w:rsid w:val="009F4312"/>
    <w:rsid w:val="00A0297A"/>
    <w:rsid w:val="00A03E05"/>
    <w:rsid w:val="00A06158"/>
    <w:rsid w:val="00A074AD"/>
    <w:rsid w:val="00A106B4"/>
    <w:rsid w:val="00A107E5"/>
    <w:rsid w:val="00A1082D"/>
    <w:rsid w:val="00A11542"/>
    <w:rsid w:val="00A13046"/>
    <w:rsid w:val="00A21634"/>
    <w:rsid w:val="00A21AA2"/>
    <w:rsid w:val="00A31CCF"/>
    <w:rsid w:val="00A36BCA"/>
    <w:rsid w:val="00A4520C"/>
    <w:rsid w:val="00A53EB4"/>
    <w:rsid w:val="00A6521D"/>
    <w:rsid w:val="00A70D5D"/>
    <w:rsid w:val="00A72E7F"/>
    <w:rsid w:val="00A734E3"/>
    <w:rsid w:val="00A75EE8"/>
    <w:rsid w:val="00A76684"/>
    <w:rsid w:val="00A80AF2"/>
    <w:rsid w:val="00A8543B"/>
    <w:rsid w:val="00A85C7E"/>
    <w:rsid w:val="00A8762B"/>
    <w:rsid w:val="00A905F2"/>
    <w:rsid w:val="00A91893"/>
    <w:rsid w:val="00A9191F"/>
    <w:rsid w:val="00A95D89"/>
    <w:rsid w:val="00AA46C6"/>
    <w:rsid w:val="00AB0BE1"/>
    <w:rsid w:val="00AB0FBF"/>
    <w:rsid w:val="00AB50AC"/>
    <w:rsid w:val="00AC0325"/>
    <w:rsid w:val="00AC241B"/>
    <w:rsid w:val="00AC26C0"/>
    <w:rsid w:val="00AD0FE1"/>
    <w:rsid w:val="00AD240F"/>
    <w:rsid w:val="00AD66DC"/>
    <w:rsid w:val="00AE0B6D"/>
    <w:rsid w:val="00AE19F8"/>
    <w:rsid w:val="00AE3698"/>
    <w:rsid w:val="00AE3C83"/>
    <w:rsid w:val="00AE3E4C"/>
    <w:rsid w:val="00AE3F8C"/>
    <w:rsid w:val="00AF0A29"/>
    <w:rsid w:val="00AF2BEC"/>
    <w:rsid w:val="00AF5E9A"/>
    <w:rsid w:val="00AF6C5B"/>
    <w:rsid w:val="00B015C3"/>
    <w:rsid w:val="00B0193E"/>
    <w:rsid w:val="00B02029"/>
    <w:rsid w:val="00B07F74"/>
    <w:rsid w:val="00B12F0C"/>
    <w:rsid w:val="00B12FE1"/>
    <w:rsid w:val="00B1709A"/>
    <w:rsid w:val="00B25AD6"/>
    <w:rsid w:val="00B30557"/>
    <w:rsid w:val="00B31ADE"/>
    <w:rsid w:val="00B44DE0"/>
    <w:rsid w:val="00B477BD"/>
    <w:rsid w:val="00B47B34"/>
    <w:rsid w:val="00B52DEC"/>
    <w:rsid w:val="00B5534D"/>
    <w:rsid w:val="00B62268"/>
    <w:rsid w:val="00B6373E"/>
    <w:rsid w:val="00B641D2"/>
    <w:rsid w:val="00B6480C"/>
    <w:rsid w:val="00B725E2"/>
    <w:rsid w:val="00B7402B"/>
    <w:rsid w:val="00B768CD"/>
    <w:rsid w:val="00B812AB"/>
    <w:rsid w:val="00B854F0"/>
    <w:rsid w:val="00B86865"/>
    <w:rsid w:val="00BA5D7B"/>
    <w:rsid w:val="00BA62CD"/>
    <w:rsid w:val="00BB7DF0"/>
    <w:rsid w:val="00BC0C3F"/>
    <w:rsid w:val="00BC1837"/>
    <w:rsid w:val="00BC2472"/>
    <w:rsid w:val="00BC4348"/>
    <w:rsid w:val="00BD7237"/>
    <w:rsid w:val="00BE0CAB"/>
    <w:rsid w:val="00BE2DBE"/>
    <w:rsid w:val="00BE3E01"/>
    <w:rsid w:val="00BE4212"/>
    <w:rsid w:val="00BE7A74"/>
    <w:rsid w:val="00BE7BE4"/>
    <w:rsid w:val="00BF0442"/>
    <w:rsid w:val="00BF3C0E"/>
    <w:rsid w:val="00BF679C"/>
    <w:rsid w:val="00BF6ED5"/>
    <w:rsid w:val="00C01589"/>
    <w:rsid w:val="00C03808"/>
    <w:rsid w:val="00C04695"/>
    <w:rsid w:val="00C0662B"/>
    <w:rsid w:val="00C107CC"/>
    <w:rsid w:val="00C10EE9"/>
    <w:rsid w:val="00C11050"/>
    <w:rsid w:val="00C11B49"/>
    <w:rsid w:val="00C13E12"/>
    <w:rsid w:val="00C14838"/>
    <w:rsid w:val="00C16208"/>
    <w:rsid w:val="00C16F17"/>
    <w:rsid w:val="00C20A44"/>
    <w:rsid w:val="00C27371"/>
    <w:rsid w:val="00C2785E"/>
    <w:rsid w:val="00C27E1D"/>
    <w:rsid w:val="00C33682"/>
    <w:rsid w:val="00C36751"/>
    <w:rsid w:val="00C37054"/>
    <w:rsid w:val="00C3716B"/>
    <w:rsid w:val="00C42A60"/>
    <w:rsid w:val="00C43E85"/>
    <w:rsid w:val="00C44191"/>
    <w:rsid w:val="00C46C6E"/>
    <w:rsid w:val="00C54187"/>
    <w:rsid w:val="00C54363"/>
    <w:rsid w:val="00C55894"/>
    <w:rsid w:val="00C55E2E"/>
    <w:rsid w:val="00C60591"/>
    <w:rsid w:val="00C634E4"/>
    <w:rsid w:val="00C635E3"/>
    <w:rsid w:val="00C65FF5"/>
    <w:rsid w:val="00C67022"/>
    <w:rsid w:val="00C6741A"/>
    <w:rsid w:val="00C715BB"/>
    <w:rsid w:val="00C71600"/>
    <w:rsid w:val="00C731AA"/>
    <w:rsid w:val="00C769C4"/>
    <w:rsid w:val="00C76B23"/>
    <w:rsid w:val="00C81586"/>
    <w:rsid w:val="00C84425"/>
    <w:rsid w:val="00C84F90"/>
    <w:rsid w:val="00C85E12"/>
    <w:rsid w:val="00C94AE7"/>
    <w:rsid w:val="00C95BA8"/>
    <w:rsid w:val="00CA016A"/>
    <w:rsid w:val="00CA3037"/>
    <w:rsid w:val="00CA3B41"/>
    <w:rsid w:val="00CA4BDB"/>
    <w:rsid w:val="00CA6FB0"/>
    <w:rsid w:val="00CC1CC7"/>
    <w:rsid w:val="00CC2A59"/>
    <w:rsid w:val="00CD494D"/>
    <w:rsid w:val="00CD4ADE"/>
    <w:rsid w:val="00CD5A8E"/>
    <w:rsid w:val="00CD7CD1"/>
    <w:rsid w:val="00CE0C35"/>
    <w:rsid w:val="00CE6A53"/>
    <w:rsid w:val="00CE7A1F"/>
    <w:rsid w:val="00CF02AB"/>
    <w:rsid w:val="00CF1C70"/>
    <w:rsid w:val="00CF64BF"/>
    <w:rsid w:val="00CF6E07"/>
    <w:rsid w:val="00D01FC4"/>
    <w:rsid w:val="00D07FCA"/>
    <w:rsid w:val="00D111C9"/>
    <w:rsid w:val="00D11536"/>
    <w:rsid w:val="00D1463A"/>
    <w:rsid w:val="00D15D45"/>
    <w:rsid w:val="00D1609F"/>
    <w:rsid w:val="00D16A6C"/>
    <w:rsid w:val="00D22780"/>
    <w:rsid w:val="00D23415"/>
    <w:rsid w:val="00D26085"/>
    <w:rsid w:val="00D26352"/>
    <w:rsid w:val="00D27465"/>
    <w:rsid w:val="00D34453"/>
    <w:rsid w:val="00D34F73"/>
    <w:rsid w:val="00D55E11"/>
    <w:rsid w:val="00D5636C"/>
    <w:rsid w:val="00D60507"/>
    <w:rsid w:val="00D60832"/>
    <w:rsid w:val="00D6100D"/>
    <w:rsid w:val="00D635B1"/>
    <w:rsid w:val="00D701D1"/>
    <w:rsid w:val="00D77A4C"/>
    <w:rsid w:val="00D83FA2"/>
    <w:rsid w:val="00D87184"/>
    <w:rsid w:val="00D90CF3"/>
    <w:rsid w:val="00D95112"/>
    <w:rsid w:val="00D97DF4"/>
    <w:rsid w:val="00D97EC9"/>
    <w:rsid w:val="00DA09A7"/>
    <w:rsid w:val="00DB1F69"/>
    <w:rsid w:val="00DB7A81"/>
    <w:rsid w:val="00DC5389"/>
    <w:rsid w:val="00DD5378"/>
    <w:rsid w:val="00DD6B6F"/>
    <w:rsid w:val="00DE33ED"/>
    <w:rsid w:val="00DE3785"/>
    <w:rsid w:val="00DE4508"/>
    <w:rsid w:val="00DE4AEA"/>
    <w:rsid w:val="00DE59DE"/>
    <w:rsid w:val="00DF5441"/>
    <w:rsid w:val="00DF77CF"/>
    <w:rsid w:val="00E03A04"/>
    <w:rsid w:val="00E03C9B"/>
    <w:rsid w:val="00E11A2A"/>
    <w:rsid w:val="00E13C38"/>
    <w:rsid w:val="00E15604"/>
    <w:rsid w:val="00E16FD0"/>
    <w:rsid w:val="00E2162D"/>
    <w:rsid w:val="00E400E0"/>
    <w:rsid w:val="00E46A5E"/>
    <w:rsid w:val="00E51C4B"/>
    <w:rsid w:val="00E525FA"/>
    <w:rsid w:val="00E53511"/>
    <w:rsid w:val="00E64210"/>
    <w:rsid w:val="00E730E7"/>
    <w:rsid w:val="00E75179"/>
    <w:rsid w:val="00E80681"/>
    <w:rsid w:val="00E91F23"/>
    <w:rsid w:val="00E9653C"/>
    <w:rsid w:val="00EA0183"/>
    <w:rsid w:val="00EA0590"/>
    <w:rsid w:val="00EA07DC"/>
    <w:rsid w:val="00EA1A51"/>
    <w:rsid w:val="00EA540C"/>
    <w:rsid w:val="00EA5A92"/>
    <w:rsid w:val="00EA63F1"/>
    <w:rsid w:val="00EA6B1B"/>
    <w:rsid w:val="00EA70C5"/>
    <w:rsid w:val="00EB4446"/>
    <w:rsid w:val="00EB4980"/>
    <w:rsid w:val="00EB4FF1"/>
    <w:rsid w:val="00EB555C"/>
    <w:rsid w:val="00EB6C36"/>
    <w:rsid w:val="00EC4A83"/>
    <w:rsid w:val="00ED0616"/>
    <w:rsid w:val="00ED33FC"/>
    <w:rsid w:val="00ED4B1B"/>
    <w:rsid w:val="00ED5799"/>
    <w:rsid w:val="00EE0D9D"/>
    <w:rsid w:val="00EE33E3"/>
    <w:rsid w:val="00EE3897"/>
    <w:rsid w:val="00EF20FD"/>
    <w:rsid w:val="00EF58B8"/>
    <w:rsid w:val="00EF5995"/>
    <w:rsid w:val="00EF6CCA"/>
    <w:rsid w:val="00EF7511"/>
    <w:rsid w:val="00F079A6"/>
    <w:rsid w:val="00F130A8"/>
    <w:rsid w:val="00F174BD"/>
    <w:rsid w:val="00F1756B"/>
    <w:rsid w:val="00F22290"/>
    <w:rsid w:val="00F234BF"/>
    <w:rsid w:val="00F2597A"/>
    <w:rsid w:val="00F31AC8"/>
    <w:rsid w:val="00F44693"/>
    <w:rsid w:val="00F46013"/>
    <w:rsid w:val="00F55810"/>
    <w:rsid w:val="00F57EBD"/>
    <w:rsid w:val="00F64E74"/>
    <w:rsid w:val="00F72715"/>
    <w:rsid w:val="00F73EB1"/>
    <w:rsid w:val="00F762DD"/>
    <w:rsid w:val="00F77D79"/>
    <w:rsid w:val="00F824D5"/>
    <w:rsid w:val="00F83A05"/>
    <w:rsid w:val="00F866FC"/>
    <w:rsid w:val="00F90515"/>
    <w:rsid w:val="00F93296"/>
    <w:rsid w:val="00F94AD4"/>
    <w:rsid w:val="00F97E70"/>
    <w:rsid w:val="00FA0E93"/>
    <w:rsid w:val="00FA13F6"/>
    <w:rsid w:val="00FB14A3"/>
    <w:rsid w:val="00FB7D71"/>
    <w:rsid w:val="00FC160A"/>
    <w:rsid w:val="00FC49A0"/>
    <w:rsid w:val="00FC7E40"/>
    <w:rsid w:val="00FD5A46"/>
    <w:rsid w:val="00FD61B6"/>
    <w:rsid w:val="00FD7371"/>
    <w:rsid w:val="00FE5066"/>
    <w:rsid w:val="00FE544A"/>
    <w:rsid w:val="00FE6C7D"/>
    <w:rsid w:val="00FF6ADC"/>
    <w:rsid w:val="00FF701E"/>
    <w:rsid w:val="00FF7C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22"/>
  </w:style>
  <w:style w:type="paragraph" w:styleId="Heading1">
    <w:name w:val="heading 1"/>
    <w:basedOn w:val="Normal"/>
    <w:next w:val="Normal"/>
    <w:link w:val="Heading1Char"/>
    <w:uiPriority w:val="9"/>
    <w:qFormat/>
    <w:rsid w:val="000264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0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64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B1C56"/>
    <w:rPr>
      <w:rFonts w:ascii="Tahoma" w:hAnsi="Tahoma" w:cs="Tahoma"/>
      <w:sz w:val="16"/>
      <w:szCs w:val="16"/>
    </w:rPr>
  </w:style>
  <w:style w:type="character" w:customStyle="1" w:styleId="BalloonTextChar">
    <w:name w:val="Balloon Text Char"/>
    <w:basedOn w:val="DefaultParagraphFont"/>
    <w:uiPriority w:val="99"/>
    <w:semiHidden/>
    <w:rsid w:val="00E342FE"/>
    <w:rPr>
      <w:rFonts w:ascii="Lucida Grande" w:hAnsi="Lucida Grande"/>
      <w:sz w:val="18"/>
      <w:szCs w:val="18"/>
    </w:rPr>
  </w:style>
  <w:style w:type="character" w:customStyle="1" w:styleId="BalloonTextChar2">
    <w:name w:val="Balloon Text Char2"/>
    <w:basedOn w:val="DefaultParagraphFont"/>
    <w:uiPriority w:val="99"/>
    <w:semiHidden/>
    <w:rsid w:val="00E342FE"/>
    <w:rPr>
      <w:rFonts w:ascii="Lucida Grande" w:hAnsi="Lucida Grande"/>
      <w:sz w:val="18"/>
      <w:szCs w:val="18"/>
    </w:rPr>
  </w:style>
  <w:style w:type="character" w:styleId="Strong">
    <w:name w:val="Strong"/>
    <w:basedOn w:val="DefaultParagraphFont"/>
    <w:uiPriority w:val="99"/>
    <w:qFormat/>
    <w:rsid w:val="00304E3F"/>
    <w:rPr>
      <w:rFonts w:cs="Times New Roman"/>
      <w:b/>
      <w:bCs/>
    </w:rPr>
  </w:style>
  <w:style w:type="paragraph" w:styleId="ListParagraph">
    <w:name w:val="List Paragraph"/>
    <w:basedOn w:val="Normal"/>
    <w:uiPriority w:val="99"/>
    <w:qFormat/>
    <w:rsid w:val="00304E3F"/>
    <w:pPr>
      <w:ind w:left="720"/>
      <w:contextualSpacing/>
    </w:pPr>
    <w:rPr>
      <w:rFonts w:ascii="Times New Roman" w:eastAsia="Times New Roman" w:hAnsi="Times New Roman" w:cs="Times New Roman"/>
    </w:rPr>
  </w:style>
  <w:style w:type="character" w:styleId="Hyperlink">
    <w:name w:val="Hyperlink"/>
    <w:basedOn w:val="DefaultParagraphFont"/>
    <w:uiPriority w:val="99"/>
    <w:rsid w:val="00304E3F"/>
    <w:rPr>
      <w:rFonts w:cs="Times New Roman"/>
      <w:color w:val="0000FF"/>
      <w:u w:val="single"/>
    </w:rPr>
  </w:style>
  <w:style w:type="character" w:customStyle="1" w:styleId="BalloonTextChar1">
    <w:name w:val="Balloon Text Char1"/>
    <w:basedOn w:val="DefaultParagraphFont"/>
    <w:link w:val="BalloonText"/>
    <w:uiPriority w:val="99"/>
    <w:semiHidden/>
    <w:rsid w:val="009B1C56"/>
    <w:rPr>
      <w:rFonts w:ascii="Tahoma" w:hAnsi="Tahoma" w:cs="Tahoma"/>
      <w:sz w:val="16"/>
      <w:szCs w:val="16"/>
    </w:rPr>
  </w:style>
  <w:style w:type="character" w:styleId="CommentReference">
    <w:name w:val="annotation reference"/>
    <w:basedOn w:val="DefaultParagraphFont"/>
    <w:uiPriority w:val="99"/>
    <w:unhideWhenUsed/>
    <w:rsid w:val="00573E20"/>
    <w:rPr>
      <w:sz w:val="16"/>
      <w:szCs w:val="16"/>
    </w:rPr>
  </w:style>
  <w:style w:type="paragraph" w:styleId="CommentText">
    <w:name w:val="annotation text"/>
    <w:basedOn w:val="Normal"/>
    <w:link w:val="CommentTextChar"/>
    <w:uiPriority w:val="99"/>
    <w:unhideWhenUsed/>
    <w:rsid w:val="00573E20"/>
    <w:rPr>
      <w:sz w:val="20"/>
      <w:szCs w:val="20"/>
    </w:rPr>
  </w:style>
  <w:style w:type="character" w:customStyle="1" w:styleId="CommentTextChar">
    <w:name w:val="Comment Text Char"/>
    <w:basedOn w:val="DefaultParagraphFont"/>
    <w:link w:val="CommentText"/>
    <w:uiPriority w:val="99"/>
    <w:rsid w:val="00573E20"/>
    <w:rPr>
      <w:sz w:val="20"/>
      <w:szCs w:val="20"/>
    </w:rPr>
  </w:style>
  <w:style w:type="paragraph" w:styleId="CommentSubject">
    <w:name w:val="annotation subject"/>
    <w:basedOn w:val="CommentText"/>
    <w:next w:val="CommentText"/>
    <w:link w:val="CommentSubjectChar"/>
    <w:uiPriority w:val="99"/>
    <w:semiHidden/>
    <w:unhideWhenUsed/>
    <w:rsid w:val="00573E20"/>
    <w:rPr>
      <w:b/>
      <w:bCs/>
    </w:rPr>
  </w:style>
  <w:style w:type="character" w:customStyle="1" w:styleId="CommentSubjectChar">
    <w:name w:val="Comment Subject Char"/>
    <w:basedOn w:val="CommentTextChar"/>
    <w:link w:val="CommentSubject"/>
    <w:uiPriority w:val="99"/>
    <w:semiHidden/>
    <w:rsid w:val="00573E20"/>
    <w:rPr>
      <w:b/>
      <w:bCs/>
      <w:sz w:val="20"/>
      <w:szCs w:val="20"/>
    </w:rPr>
  </w:style>
  <w:style w:type="paragraph" w:styleId="Header">
    <w:name w:val="header"/>
    <w:basedOn w:val="Normal"/>
    <w:link w:val="HeaderChar"/>
    <w:uiPriority w:val="99"/>
    <w:unhideWhenUsed/>
    <w:rsid w:val="00C0662B"/>
    <w:pPr>
      <w:tabs>
        <w:tab w:val="center" w:pos="4680"/>
        <w:tab w:val="right" w:pos="9360"/>
      </w:tabs>
    </w:pPr>
  </w:style>
  <w:style w:type="character" w:customStyle="1" w:styleId="HeaderChar">
    <w:name w:val="Header Char"/>
    <w:basedOn w:val="DefaultParagraphFont"/>
    <w:link w:val="Header"/>
    <w:uiPriority w:val="99"/>
    <w:rsid w:val="00C0662B"/>
  </w:style>
  <w:style w:type="paragraph" w:styleId="Footer">
    <w:name w:val="footer"/>
    <w:basedOn w:val="Normal"/>
    <w:link w:val="FooterChar"/>
    <w:uiPriority w:val="99"/>
    <w:unhideWhenUsed/>
    <w:rsid w:val="00C0662B"/>
    <w:pPr>
      <w:tabs>
        <w:tab w:val="center" w:pos="4680"/>
        <w:tab w:val="right" w:pos="9360"/>
      </w:tabs>
    </w:pPr>
  </w:style>
  <w:style w:type="character" w:customStyle="1" w:styleId="FooterChar">
    <w:name w:val="Footer Char"/>
    <w:basedOn w:val="DefaultParagraphFont"/>
    <w:link w:val="Footer"/>
    <w:uiPriority w:val="99"/>
    <w:rsid w:val="00C0662B"/>
  </w:style>
  <w:style w:type="character" w:styleId="FollowedHyperlink">
    <w:name w:val="FollowedHyperlink"/>
    <w:basedOn w:val="DefaultParagraphFont"/>
    <w:uiPriority w:val="99"/>
    <w:semiHidden/>
    <w:unhideWhenUsed/>
    <w:rsid w:val="00086AC6"/>
    <w:rPr>
      <w:color w:val="800080" w:themeColor="followedHyperlink"/>
      <w:u w:val="single"/>
    </w:rPr>
  </w:style>
  <w:style w:type="table" w:styleId="TableGrid">
    <w:name w:val="Table Grid"/>
    <w:basedOn w:val="TableNormal"/>
    <w:uiPriority w:val="59"/>
    <w:rsid w:val="00460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64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05A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rsid w:val="005405A2"/>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5405A2"/>
    <w:rPr>
      <w:rFonts w:ascii="Calibri" w:eastAsia="Calibri" w:hAnsi="Calibri" w:cs="Calibri"/>
      <w:sz w:val="20"/>
      <w:szCs w:val="20"/>
    </w:rPr>
  </w:style>
  <w:style w:type="character" w:styleId="FootnoteReference">
    <w:name w:val="footnote reference"/>
    <w:basedOn w:val="DefaultParagraphFont"/>
    <w:uiPriority w:val="99"/>
    <w:semiHidden/>
    <w:rsid w:val="005405A2"/>
    <w:rPr>
      <w:rFonts w:cs="Times New Roman"/>
      <w:vertAlign w:val="superscript"/>
    </w:rPr>
  </w:style>
  <w:style w:type="paragraph" w:styleId="Revision">
    <w:name w:val="Revision"/>
    <w:hidden/>
    <w:uiPriority w:val="99"/>
    <w:semiHidden/>
    <w:rsid w:val="003C3EF5"/>
  </w:style>
  <w:style w:type="character" w:customStyle="1" w:styleId="apple-converted-space">
    <w:name w:val="apple-converted-space"/>
    <w:basedOn w:val="DefaultParagraphFont"/>
    <w:rsid w:val="005E5B23"/>
  </w:style>
  <w:style w:type="character" w:customStyle="1" w:styleId="Heading3Char">
    <w:name w:val="Heading 3 Char"/>
    <w:basedOn w:val="DefaultParagraphFont"/>
    <w:link w:val="Heading3"/>
    <w:uiPriority w:val="9"/>
    <w:semiHidden/>
    <w:rsid w:val="00CF64B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F64BF"/>
    <w:pPr>
      <w:spacing w:before="120" w:after="120" w:line="336" w:lineRule="atLeast"/>
    </w:pPr>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3C34AF"/>
    <w:pPr>
      <w:spacing w:line="276" w:lineRule="auto"/>
      <w:outlineLvl w:val="9"/>
    </w:pPr>
    <w:rPr>
      <w:lang w:eastAsia="ja-JP"/>
    </w:rPr>
  </w:style>
  <w:style w:type="paragraph" w:styleId="TOC1">
    <w:name w:val="toc 1"/>
    <w:basedOn w:val="Normal"/>
    <w:next w:val="Normal"/>
    <w:autoRedefine/>
    <w:uiPriority w:val="39"/>
    <w:unhideWhenUsed/>
    <w:rsid w:val="003C34A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22"/>
  </w:style>
  <w:style w:type="paragraph" w:styleId="Heading1">
    <w:name w:val="heading 1"/>
    <w:basedOn w:val="Normal"/>
    <w:next w:val="Normal"/>
    <w:link w:val="Heading1Char"/>
    <w:uiPriority w:val="9"/>
    <w:qFormat/>
    <w:rsid w:val="000264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0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64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B1C56"/>
    <w:rPr>
      <w:rFonts w:ascii="Tahoma" w:hAnsi="Tahoma" w:cs="Tahoma"/>
      <w:sz w:val="16"/>
      <w:szCs w:val="16"/>
    </w:rPr>
  </w:style>
  <w:style w:type="character" w:customStyle="1" w:styleId="BalloonTextChar">
    <w:name w:val="Balloon Text Char"/>
    <w:basedOn w:val="DefaultParagraphFont"/>
    <w:uiPriority w:val="99"/>
    <w:semiHidden/>
    <w:rsid w:val="00E342FE"/>
    <w:rPr>
      <w:rFonts w:ascii="Lucida Grande" w:hAnsi="Lucida Grande"/>
      <w:sz w:val="18"/>
      <w:szCs w:val="18"/>
    </w:rPr>
  </w:style>
  <w:style w:type="character" w:customStyle="1" w:styleId="BalloonTextChar2">
    <w:name w:val="Balloon Text Char2"/>
    <w:basedOn w:val="DefaultParagraphFont"/>
    <w:uiPriority w:val="99"/>
    <w:semiHidden/>
    <w:rsid w:val="00E342FE"/>
    <w:rPr>
      <w:rFonts w:ascii="Lucida Grande" w:hAnsi="Lucida Grande"/>
      <w:sz w:val="18"/>
      <w:szCs w:val="18"/>
    </w:rPr>
  </w:style>
  <w:style w:type="character" w:styleId="Strong">
    <w:name w:val="Strong"/>
    <w:basedOn w:val="DefaultParagraphFont"/>
    <w:uiPriority w:val="99"/>
    <w:qFormat/>
    <w:rsid w:val="00304E3F"/>
    <w:rPr>
      <w:rFonts w:cs="Times New Roman"/>
      <w:b/>
      <w:bCs/>
    </w:rPr>
  </w:style>
  <w:style w:type="paragraph" w:styleId="ListParagraph">
    <w:name w:val="List Paragraph"/>
    <w:basedOn w:val="Normal"/>
    <w:uiPriority w:val="99"/>
    <w:qFormat/>
    <w:rsid w:val="00304E3F"/>
    <w:pPr>
      <w:ind w:left="720"/>
      <w:contextualSpacing/>
    </w:pPr>
    <w:rPr>
      <w:rFonts w:ascii="Times New Roman" w:eastAsia="Times New Roman" w:hAnsi="Times New Roman" w:cs="Times New Roman"/>
    </w:rPr>
  </w:style>
  <w:style w:type="character" w:styleId="Hyperlink">
    <w:name w:val="Hyperlink"/>
    <w:basedOn w:val="DefaultParagraphFont"/>
    <w:uiPriority w:val="99"/>
    <w:rsid w:val="00304E3F"/>
    <w:rPr>
      <w:rFonts w:cs="Times New Roman"/>
      <w:color w:val="0000FF"/>
      <w:u w:val="single"/>
    </w:rPr>
  </w:style>
  <w:style w:type="character" w:customStyle="1" w:styleId="BalloonTextChar1">
    <w:name w:val="Balloon Text Char1"/>
    <w:basedOn w:val="DefaultParagraphFont"/>
    <w:link w:val="BalloonText"/>
    <w:uiPriority w:val="99"/>
    <w:semiHidden/>
    <w:rsid w:val="009B1C56"/>
    <w:rPr>
      <w:rFonts w:ascii="Tahoma" w:hAnsi="Tahoma" w:cs="Tahoma"/>
      <w:sz w:val="16"/>
      <w:szCs w:val="16"/>
    </w:rPr>
  </w:style>
  <w:style w:type="character" w:styleId="CommentReference">
    <w:name w:val="annotation reference"/>
    <w:basedOn w:val="DefaultParagraphFont"/>
    <w:uiPriority w:val="99"/>
    <w:unhideWhenUsed/>
    <w:rsid w:val="00573E20"/>
    <w:rPr>
      <w:sz w:val="16"/>
      <w:szCs w:val="16"/>
    </w:rPr>
  </w:style>
  <w:style w:type="paragraph" w:styleId="CommentText">
    <w:name w:val="annotation text"/>
    <w:basedOn w:val="Normal"/>
    <w:link w:val="CommentTextChar"/>
    <w:uiPriority w:val="99"/>
    <w:unhideWhenUsed/>
    <w:rsid w:val="00573E20"/>
    <w:rPr>
      <w:sz w:val="20"/>
      <w:szCs w:val="20"/>
    </w:rPr>
  </w:style>
  <w:style w:type="character" w:customStyle="1" w:styleId="CommentTextChar">
    <w:name w:val="Comment Text Char"/>
    <w:basedOn w:val="DefaultParagraphFont"/>
    <w:link w:val="CommentText"/>
    <w:uiPriority w:val="99"/>
    <w:rsid w:val="00573E20"/>
    <w:rPr>
      <w:sz w:val="20"/>
      <w:szCs w:val="20"/>
    </w:rPr>
  </w:style>
  <w:style w:type="paragraph" w:styleId="CommentSubject">
    <w:name w:val="annotation subject"/>
    <w:basedOn w:val="CommentText"/>
    <w:next w:val="CommentText"/>
    <w:link w:val="CommentSubjectChar"/>
    <w:uiPriority w:val="99"/>
    <w:semiHidden/>
    <w:unhideWhenUsed/>
    <w:rsid w:val="00573E20"/>
    <w:rPr>
      <w:b/>
      <w:bCs/>
    </w:rPr>
  </w:style>
  <w:style w:type="character" w:customStyle="1" w:styleId="CommentSubjectChar">
    <w:name w:val="Comment Subject Char"/>
    <w:basedOn w:val="CommentTextChar"/>
    <w:link w:val="CommentSubject"/>
    <w:uiPriority w:val="99"/>
    <w:semiHidden/>
    <w:rsid w:val="00573E20"/>
    <w:rPr>
      <w:b/>
      <w:bCs/>
      <w:sz w:val="20"/>
      <w:szCs w:val="20"/>
    </w:rPr>
  </w:style>
  <w:style w:type="paragraph" w:styleId="Header">
    <w:name w:val="header"/>
    <w:basedOn w:val="Normal"/>
    <w:link w:val="HeaderChar"/>
    <w:uiPriority w:val="99"/>
    <w:unhideWhenUsed/>
    <w:rsid w:val="00C0662B"/>
    <w:pPr>
      <w:tabs>
        <w:tab w:val="center" w:pos="4680"/>
        <w:tab w:val="right" w:pos="9360"/>
      </w:tabs>
    </w:pPr>
  </w:style>
  <w:style w:type="character" w:customStyle="1" w:styleId="HeaderChar">
    <w:name w:val="Header Char"/>
    <w:basedOn w:val="DefaultParagraphFont"/>
    <w:link w:val="Header"/>
    <w:uiPriority w:val="99"/>
    <w:rsid w:val="00C0662B"/>
  </w:style>
  <w:style w:type="paragraph" w:styleId="Footer">
    <w:name w:val="footer"/>
    <w:basedOn w:val="Normal"/>
    <w:link w:val="FooterChar"/>
    <w:uiPriority w:val="99"/>
    <w:unhideWhenUsed/>
    <w:rsid w:val="00C0662B"/>
    <w:pPr>
      <w:tabs>
        <w:tab w:val="center" w:pos="4680"/>
        <w:tab w:val="right" w:pos="9360"/>
      </w:tabs>
    </w:pPr>
  </w:style>
  <w:style w:type="character" w:customStyle="1" w:styleId="FooterChar">
    <w:name w:val="Footer Char"/>
    <w:basedOn w:val="DefaultParagraphFont"/>
    <w:link w:val="Footer"/>
    <w:uiPriority w:val="99"/>
    <w:rsid w:val="00C0662B"/>
  </w:style>
  <w:style w:type="character" w:styleId="FollowedHyperlink">
    <w:name w:val="FollowedHyperlink"/>
    <w:basedOn w:val="DefaultParagraphFont"/>
    <w:uiPriority w:val="99"/>
    <w:semiHidden/>
    <w:unhideWhenUsed/>
    <w:rsid w:val="00086AC6"/>
    <w:rPr>
      <w:color w:val="800080" w:themeColor="followedHyperlink"/>
      <w:u w:val="single"/>
    </w:rPr>
  </w:style>
  <w:style w:type="table" w:styleId="TableGrid">
    <w:name w:val="Table Grid"/>
    <w:basedOn w:val="TableNormal"/>
    <w:uiPriority w:val="59"/>
    <w:rsid w:val="00460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64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05A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rsid w:val="005405A2"/>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5405A2"/>
    <w:rPr>
      <w:rFonts w:ascii="Calibri" w:eastAsia="Calibri" w:hAnsi="Calibri" w:cs="Calibri"/>
      <w:sz w:val="20"/>
      <w:szCs w:val="20"/>
    </w:rPr>
  </w:style>
  <w:style w:type="character" w:styleId="FootnoteReference">
    <w:name w:val="footnote reference"/>
    <w:basedOn w:val="DefaultParagraphFont"/>
    <w:uiPriority w:val="99"/>
    <w:semiHidden/>
    <w:rsid w:val="005405A2"/>
    <w:rPr>
      <w:rFonts w:cs="Times New Roman"/>
      <w:vertAlign w:val="superscript"/>
    </w:rPr>
  </w:style>
  <w:style w:type="paragraph" w:styleId="Revision">
    <w:name w:val="Revision"/>
    <w:hidden/>
    <w:uiPriority w:val="99"/>
    <w:semiHidden/>
    <w:rsid w:val="003C3EF5"/>
  </w:style>
  <w:style w:type="character" w:customStyle="1" w:styleId="apple-converted-space">
    <w:name w:val="apple-converted-space"/>
    <w:basedOn w:val="DefaultParagraphFont"/>
    <w:rsid w:val="005E5B23"/>
  </w:style>
  <w:style w:type="character" w:customStyle="1" w:styleId="Heading3Char">
    <w:name w:val="Heading 3 Char"/>
    <w:basedOn w:val="DefaultParagraphFont"/>
    <w:link w:val="Heading3"/>
    <w:uiPriority w:val="9"/>
    <w:semiHidden/>
    <w:rsid w:val="00CF64B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F64BF"/>
    <w:pPr>
      <w:spacing w:before="120" w:after="120" w:line="336" w:lineRule="atLeast"/>
    </w:pPr>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3C34AF"/>
    <w:pPr>
      <w:spacing w:line="276" w:lineRule="auto"/>
      <w:outlineLvl w:val="9"/>
    </w:pPr>
    <w:rPr>
      <w:lang w:eastAsia="ja-JP"/>
    </w:rPr>
  </w:style>
  <w:style w:type="paragraph" w:styleId="TOC1">
    <w:name w:val="toc 1"/>
    <w:basedOn w:val="Normal"/>
    <w:next w:val="Normal"/>
    <w:autoRedefine/>
    <w:uiPriority w:val="39"/>
    <w:unhideWhenUsed/>
    <w:rsid w:val="003C34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376">
      <w:bodyDiv w:val="1"/>
      <w:marLeft w:val="0"/>
      <w:marRight w:val="0"/>
      <w:marTop w:val="0"/>
      <w:marBottom w:val="0"/>
      <w:divBdr>
        <w:top w:val="none" w:sz="0" w:space="0" w:color="auto"/>
        <w:left w:val="none" w:sz="0" w:space="0" w:color="auto"/>
        <w:bottom w:val="none" w:sz="0" w:space="0" w:color="auto"/>
        <w:right w:val="none" w:sz="0" w:space="0" w:color="auto"/>
      </w:divBdr>
    </w:div>
    <w:div w:id="13462111">
      <w:bodyDiv w:val="1"/>
      <w:marLeft w:val="0"/>
      <w:marRight w:val="0"/>
      <w:marTop w:val="0"/>
      <w:marBottom w:val="0"/>
      <w:divBdr>
        <w:top w:val="none" w:sz="0" w:space="0" w:color="auto"/>
        <w:left w:val="none" w:sz="0" w:space="0" w:color="auto"/>
        <w:bottom w:val="none" w:sz="0" w:space="0" w:color="auto"/>
        <w:right w:val="none" w:sz="0" w:space="0" w:color="auto"/>
      </w:divBdr>
    </w:div>
    <w:div w:id="52626320">
      <w:bodyDiv w:val="1"/>
      <w:marLeft w:val="0"/>
      <w:marRight w:val="0"/>
      <w:marTop w:val="0"/>
      <w:marBottom w:val="0"/>
      <w:divBdr>
        <w:top w:val="none" w:sz="0" w:space="0" w:color="auto"/>
        <w:left w:val="none" w:sz="0" w:space="0" w:color="auto"/>
        <w:bottom w:val="none" w:sz="0" w:space="0" w:color="auto"/>
        <w:right w:val="none" w:sz="0" w:space="0" w:color="auto"/>
      </w:divBdr>
    </w:div>
    <w:div w:id="111750317">
      <w:bodyDiv w:val="1"/>
      <w:marLeft w:val="0"/>
      <w:marRight w:val="0"/>
      <w:marTop w:val="0"/>
      <w:marBottom w:val="0"/>
      <w:divBdr>
        <w:top w:val="none" w:sz="0" w:space="0" w:color="auto"/>
        <w:left w:val="none" w:sz="0" w:space="0" w:color="auto"/>
        <w:bottom w:val="none" w:sz="0" w:space="0" w:color="auto"/>
        <w:right w:val="none" w:sz="0" w:space="0" w:color="auto"/>
      </w:divBdr>
    </w:div>
    <w:div w:id="207109288">
      <w:bodyDiv w:val="1"/>
      <w:marLeft w:val="0"/>
      <w:marRight w:val="0"/>
      <w:marTop w:val="0"/>
      <w:marBottom w:val="0"/>
      <w:divBdr>
        <w:top w:val="none" w:sz="0" w:space="0" w:color="auto"/>
        <w:left w:val="none" w:sz="0" w:space="0" w:color="auto"/>
        <w:bottom w:val="none" w:sz="0" w:space="0" w:color="auto"/>
        <w:right w:val="none" w:sz="0" w:space="0" w:color="auto"/>
      </w:divBdr>
    </w:div>
    <w:div w:id="231741020">
      <w:bodyDiv w:val="1"/>
      <w:marLeft w:val="0"/>
      <w:marRight w:val="0"/>
      <w:marTop w:val="0"/>
      <w:marBottom w:val="0"/>
      <w:divBdr>
        <w:top w:val="none" w:sz="0" w:space="0" w:color="auto"/>
        <w:left w:val="none" w:sz="0" w:space="0" w:color="auto"/>
        <w:bottom w:val="none" w:sz="0" w:space="0" w:color="auto"/>
        <w:right w:val="none" w:sz="0" w:space="0" w:color="auto"/>
      </w:divBdr>
    </w:div>
    <w:div w:id="299767409">
      <w:bodyDiv w:val="1"/>
      <w:marLeft w:val="0"/>
      <w:marRight w:val="0"/>
      <w:marTop w:val="0"/>
      <w:marBottom w:val="0"/>
      <w:divBdr>
        <w:top w:val="none" w:sz="0" w:space="0" w:color="auto"/>
        <w:left w:val="none" w:sz="0" w:space="0" w:color="auto"/>
        <w:bottom w:val="none" w:sz="0" w:space="0" w:color="auto"/>
        <w:right w:val="none" w:sz="0" w:space="0" w:color="auto"/>
      </w:divBdr>
    </w:div>
    <w:div w:id="340199925">
      <w:bodyDiv w:val="1"/>
      <w:marLeft w:val="0"/>
      <w:marRight w:val="0"/>
      <w:marTop w:val="0"/>
      <w:marBottom w:val="0"/>
      <w:divBdr>
        <w:top w:val="none" w:sz="0" w:space="0" w:color="auto"/>
        <w:left w:val="none" w:sz="0" w:space="0" w:color="auto"/>
        <w:bottom w:val="none" w:sz="0" w:space="0" w:color="auto"/>
        <w:right w:val="none" w:sz="0" w:space="0" w:color="auto"/>
      </w:divBdr>
    </w:div>
    <w:div w:id="345913088">
      <w:bodyDiv w:val="1"/>
      <w:marLeft w:val="0"/>
      <w:marRight w:val="0"/>
      <w:marTop w:val="0"/>
      <w:marBottom w:val="0"/>
      <w:divBdr>
        <w:top w:val="none" w:sz="0" w:space="0" w:color="auto"/>
        <w:left w:val="none" w:sz="0" w:space="0" w:color="auto"/>
        <w:bottom w:val="none" w:sz="0" w:space="0" w:color="auto"/>
        <w:right w:val="none" w:sz="0" w:space="0" w:color="auto"/>
      </w:divBdr>
    </w:div>
    <w:div w:id="356391267">
      <w:bodyDiv w:val="1"/>
      <w:marLeft w:val="0"/>
      <w:marRight w:val="0"/>
      <w:marTop w:val="0"/>
      <w:marBottom w:val="0"/>
      <w:divBdr>
        <w:top w:val="none" w:sz="0" w:space="0" w:color="auto"/>
        <w:left w:val="none" w:sz="0" w:space="0" w:color="auto"/>
        <w:bottom w:val="none" w:sz="0" w:space="0" w:color="auto"/>
        <w:right w:val="none" w:sz="0" w:space="0" w:color="auto"/>
      </w:divBdr>
    </w:div>
    <w:div w:id="388114148">
      <w:bodyDiv w:val="1"/>
      <w:marLeft w:val="0"/>
      <w:marRight w:val="0"/>
      <w:marTop w:val="0"/>
      <w:marBottom w:val="0"/>
      <w:divBdr>
        <w:top w:val="none" w:sz="0" w:space="0" w:color="auto"/>
        <w:left w:val="none" w:sz="0" w:space="0" w:color="auto"/>
        <w:bottom w:val="none" w:sz="0" w:space="0" w:color="auto"/>
        <w:right w:val="none" w:sz="0" w:space="0" w:color="auto"/>
      </w:divBdr>
    </w:div>
    <w:div w:id="450365812">
      <w:bodyDiv w:val="1"/>
      <w:marLeft w:val="0"/>
      <w:marRight w:val="0"/>
      <w:marTop w:val="0"/>
      <w:marBottom w:val="0"/>
      <w:divBdr>
        <w:top w:val="none" w:sz="0" w:space="0" w:color="auto"/>
        <w:left w:val="none" w:sz="0" w:space="0" w:color="auto"/>
        <w:bottom w:val="none" w:sz="0" w:space="0" w:color="auto"/>
        <w:right w:val="none" w:sz="0" w:space="0" w:color="auto"/>
      </w:divBdr>
    </w:div>
    <w:div w:id="468862590">
      <w:bodyDiv w:val="1"/>
      <w:marLeft w:val="0"/>
      <w:marRight w:val="0"/>
      <w:marTop w:val="0"/>
      <w:marBottom w:val="0"/>
      <w:divBdr>
        <w:top w:val="none" w:sz="0" w:space="0" w:color="auto"/>
        <w:left w:val="none" w:sz="0" w:space="0" w:color="auto"/>
        <w:bottom w:val="none" w:sz="0" w:space="0" w:color="auto"/>
        <w:right w:val="none" w:sz="0" w:space="0" w:color="auto"/>
      </w:divBdr>
    </w:div>
    <w:div w:id="498619364">
      <w:bodyDiv w:val="1"/>
      <w:marLeft w:val="0"/>
      <w:marRight w:val="0"/>
      <w:marTop w:val="0"/>
      <w:marBottom w:val="0"/>
      <w:divBdr>
        <w:top w:val="none" w:sz="0" w:space="0" w:color="auto"/>
        <w:left w:val="none" w:sz="0" w:space="0" w:color="auto"/>
        <w:bottom w:val="none" w:sz="0" w:space="0" w:color="auto"/>
        <w:right w:val="none" w:sz="0" w:space="0" w:color="auto"/>
      </w:divBdr>
    </w:div>
    <w:div w:id="646009188">
      <w:bodyDiv w:val="1"/>
      <w:marLeft w:val="0"/>
      <w:marRight w:val="0"/>
      <w:marTop w:val="0"/>
      <w:marBottom w:val="0"/>
      <w:divBdr>
        <w:top w:val="none" w:sz="0" w:space="0" w:color="auto"/>
        <w:left w:val="none" w:sz="0" w:space="0" w:color="auto"/>
        <w:bottom w:val="none" w:sz="0" w:space="0" w:color="auto"/>
        <w:right w:val="none" w:sz="0" w:space="0" w:color="auto"/>
      </w:divBdr>
    </w:div>
    <w:div w:id="664668337">
      <w:bodyDiv w:val="1"/>
      <w:marLeft w:val="0"/>
      <w:marRight w:val="0"/>
      <w:marTop w:val="0"/>
      <w:marBottom w:val="0"/>
      <w:divBdr>
        <w:top w:val="none" w:sz="0" w:space="0" w:color="auto"/>
        <w:left w:val="none" w:sz="0" w:space="0" w:color="auto"/>
        <w:bottom w:val="none" w:sz="0" w:space="0" w:color="auto"/>
        <w:right w:val="none" w:sz="0" w:space="0" w:color="auto"/>
      </w:divBdr>
    </w:div>
    <w:div w:id="700860035">
      <w:bodyDiv w:val="1"/>
      <w:marLeft w:val="0"/>
      <w:marRight w:val="0"/>
      <w:marTop w:val="0"/>
      <w:marBottom w:val="0"/>
      <w:divBdr>
        <w:top w:val="none" w:sz="0" w:space="0" w:color="auto"/>
        <w:left w:val="none" w:sz="0" w:space="0" w:color="auto"/>
        <w:bottom w:val="none" w:sz="0" w:space="0" w:color="auto"/>
        <w:right w:val="none" w:sz="0" w:space="0" w:color="auto"/>
      </w:divBdr>
    </w:div>
    <w:div w:id="702052450">
      <w:bodyDiv w:val="1"/>
      <w:marLeft w:val="0"/>
      <w:marRight w:val="0"/>
      <w:marTop w:val="0"/>
      <w:marBottom w:val="0"/>
      <w:divBdr>
        <w:top w:val="none" w:sz="0" w:space="0" w:color="auto"/>
        <w:left w:val="none" w:sz="0" w:space="0" w:color="auto"/>
        <w:bottom w:val="none" w:sz="0" w:space="0" w:color="auto"/>
        <w:right w:val="none" w:sz="0" w:space="0" w:color="auto"/>
      </w:divBdr>
    </w:div>
    <w:div w:id="722211960">
      <w:bodyDiv w:val="1"/>
      <w:marLeft w:val="0"/>
      <w:marRight w:val="0"/>
      <w:marTop w:val="0"/>
      <w:marBottom w:val="0"/>
      <w:divBdr>
        <w:top w:val="none" w:sz="0" w:space="0" w:color="auto"/>
        <w:left w:val="none" w:sz="0" w:space="0" w:color="auto"/>
        <w:bottom w:val="none" w:sz="0" w:space="0" w:color="auto"/>
        <w:right w:val="none" w:sz="0" w:space="0" w:color="auto"/>
      </w:divBdr>
    </w:div>
    <w:div w:id="776294401">
      <w:bodyDiv w:val="1"/>
      <w:marLeft w:val="0"/>
      <w:marRight w:val="0"/>
      <w:marTop w:val="0"/>
      <w:marBottom w:val="0"/>
      <w:divBdr>
        <w:top w:val="none" w:sz="0" w:space="0" w:color="auto"/>
        <w:left w:val="none" w:sz="0" w:space="0" w:color="auto"/>
        <w:bottom w:val="none" w:sz="0" w:space="0" w:color="auto"/>
        <w:right w:val="none" w:sz="0" w:space="0" w:color="auto"/>
      </w:divBdr>
    </w:div>
    <w:div w:id="847522729">
      <w:bodyDiv w:val="1"/>
      <w:marLeft w:val="0"/>
      <w:marRight w:val="0"/>
      <w:marTop w:val="0"/>
      <w:marBottom w:val="0"/>
      <w:divBdr>
        <w:top w:val="none" w:sz="0" w:space="0" w:color="auto"/>
        <w:left w:val="none" w:sz="0" w:space="0" w:color="auto"/>
        <w:bottom w:val="none" w:sz="0" w:space="0" w:color="auto"/>
        <w:right w:val="none" w:sz="0" w:space="0" w:color="auto"/>
      </w:divBdr>
    </w:div>
    <w:div w:id="978924269">
      <w:bodyDiv w:val="1"/>
      <w:marLeft w:val="0"/>
      <w:marRight w:val="0"/>
      <w:marTop w:val="0"/>
      <w:marBottom w:val="0"/>
      <w:divBdr>
        <w:top w:val="none" w:sz="0" w:space="0" w:color="auto"/>
        <w:left w:val="none" w:sz="0" w:space="0" w:color="auto"/>
        <w:bottom w:val="none" w:sz="0" w:space="0" w:color="auto"/>
        <w:right w:val="none" w:sz="0" w:space="0" w:color="auto"/>
      </w:divBdr>
    </w:div>
    <w:div w:id="998193251">
      <w:bodyDiv w:val="1"/>
      <w:marLeft w:val="0"/>
      <w:marRight w:val="0"/>
      <w:marTop w:val="0"/>
      <w:marBottom w:val="0"/>
      <w:divBdr>
        <w:top w:val="none" w:sz="0" w:space="0" w:color="auto"/>
        <w:left w:val="none" w:sz="0" w:space="0" w:color="auto"/>
        <w:bottom w:val="none" w:sz="0" w:space="0" w:color="auto"/>
        <w:right w:val="none" w:sz="0" w:space="0" w:color="auto"/>
      </w:divBdr>
      <w:divsChild>
        <w:div w:id="307981278">
          <w:marLeft w:val="0"/>
          <w:marRight w:val="0"/>
          <w:marTop w:val="0"/>
          <w:marBottom w:val="0"/>
          <w:divBdr>
            <w:top w:val="none" w:sz="0" w:space="0" w:color="auto"/>
            <w:left w:val="none" w:sz="0" w:space="0" w:color="auto"/>
            <w:bottom w:val="none" w:sz="0" w:space="0" w:color="auto"/>
            <w:right w:val="none" w:sz="0" w:space="0" w:color="auto"/>
          </w:divBdr>
          <w:divsChild>
            <w:div w:id="758719424">
              <w:marLeft w:val="0"/>
              <w:marRight w:val="0"/>
              <w:marTop w:val="0"/>
              <w:marBottom w:val="0"/>
              <w:divBdr>
                <w:top w:val="none" w:sz="0" w:space="0" w:color="auto"/>
                <w:left w:val="none" w:sz="0" w:space="0" w:color="auto"/>
                <w:bottom w:val="none" w:sz="0" w:space="0" w:color="auto"/>
                <w:right w:val="none" w:sz="0" w:space="0" w:color="auto"/>
              </w:divBdr>
              <w:divsChild>
                <w:div w:id="1412387497">
                  <w:marLeft w:val="0"/>
                  <w:marRight w:val="0"/>
                  <w:marTop w:val="0"/>
                  <w:marBottom w:val="0"/>
                  <w:divBdr>
                    <w:top w:val="none" w:sz="0" w:space="0" w:color="auto"/>
                    <w:left w:val="none" w:sz="0" w:space="0" w:color="auto"/>
                    <w:bottom w:val="none" w:sz="0" w:space="0" w:color="auto"/>
                    <w:right w:val="none" w:sz="0" w:space="0" w:color="auto"/>
                  </w:divBdr>
                  <w:divsChild>
                    <w:div w:id="558515590">
                      <w:marLeft w:val="0"/>
                      <w:marRight w:val="0"/>
                      <w:marTop w:val="0"/>
                      <w:marBottom w:val="0"/>
                      <w:divBdr>
                        <w:top w:val="none" w:sz="0" w:space="0" w:color="auto"/>
                        <w:left w:val="none" w:sz="0" w:space="0" w:color="auto"/>
                        <w:bottom w:val="none" w:sz="0" w:space="0" w:color="auto"/>
                        <w:right w:val="none" w:sz="0" w:space="0" w:color="auto"/>
                      </w:divBdr>
                      <w:divsChild>
                        <w:div w:id="1087993818">
                          <w:marLeft w:val="0"/>
                          <w:marRight w:val="-4320"/>
                          <w:marTop w:val="0"/>
                          <w:marBottom w:val="0"/>
                          <w:divBdr>
                            <w:top w:val="none" w:sz="0" w:space="0" w:color="auto"/>
                            <w:left w:val="none" w:sz="0" w:space="0" w:color="auto"/>
                            <w:bottom w:val="none" w:sz="0" w:space="0" w:color="auto"/>
                            <w:right w:val="single" w:sz="48" w:space="0" w:color="F2F2F2"/>
                          </w:divBdr>
                          <w:divsChild>
                            <w:div w:id="19114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151954">
      <w:bodyDiv w:val="1"/>
      <w:marLeft w:val="0"/>
      <w:marRight w:val="0"/>
      <w:marTop w:val="0"/>
      <w:marBottom w:val="0"/>
      <w:divBdr>
        <w:top w:val="none" w:sz="0" w:space="0" w:color="auto"/>
        <w:left w:val="none" w:sz="0" w:space="0" w:color="auto"/>
        <w:bottom w:val="none" w:sz="0" w:space="0" w:color="auto"/>
        <w:right w:val="none" w:sz="0" w:space="0" w:color="auto"/>
      </w:divBdr>
    </w:div>
    <w:div w:id="1038048428">
      <w:bodyDiv w:val="1"/>
      <w:marLeft w:val="0"/>
      <w:marRight w:val="0"/>
      <w:marTop w:val="0"/>
      <w:marBottom w:val="0"/>
      <w:divBdr>
        <w:top w:val="none" w:sz="0" w:space="0" w:color="auto"/>
        <w:left w:val="none" w:sz="0" w:space="0" w:color="auto"/>
        <w:bottom w:val="none" w:sz="0" w:space="0" w:color="auto"/>
        <w:right w:val="none" w:sz="0" w:space="0" w:color="auto"/>
      </w:divBdr>
    </w:div>
    <w:div w:id="1047611371">
      <w:bodyDiv w:val="1"/>
      <w:marLeft w:val="0"/>
      <w:marRight w:val="0"/>
      <w:marTop w:val="0"/>
      <w:marBottom w:val="0"/>
      <w:divBdr>
        <w:top w:val="none" w:sz="0" w:space="0" w:color="auto"/>
        <w:left w:val="none" w:sz="0" w:space="0" w:color="auto"/>
        <w:bottom w:val="none" w:sz="0" w:space="0" w:color="auto"/>
        <w:right w:val="none" w:sz="0" w:space="0" w:color="auto"/>
      </w:divBdr>
    </w:div>
    <w:div w:id="1168525200">
      <w:bodyDiv w:val="1"/>
      <w:marLeft w:val="0"/>
      <w:marRight w:val="0"/>
      <w:marTop w:val="0"/>
      <w:marBottom w:val="0"/>
      <w:divBdr>
        <w:top w:val="none" w:sz="0" w:space="0" w:color="auto"/>
        <w:left w:val="none" w:sz="0" w:space="0" w:color="auto"/>
        <w:bottom w:val="none" w:sz="0" w:space="0" w:color="auto"/>
        <w:right w:val="none" w:sz="0" w:space="0" w:color="auto"/>
      </w:divBdr>
    </w:div>
    <w:div w:id="1242182572">
      <w:bodyDiv w:val="1"/>
      <w:marLeft w:val="0"/>
      <w:marRight w:val="0"/>
      <w:marTop w:val="0"/>
      <w:marBottom w:val="0"/>
      <w:divBdr>
        <w:top w:val="none" w:sz="0" w:space="0" w:color="auto"/>
        <w:left w:val="none" w:sz="0" w:space="0" w:color="auto"/>
        <w:bottom w:val="none" w:sz="0" w:space="0" w:color="auto"/>
        <w:right w:val="none" w:sz="0" w:space="0" w:color="auto"/>
      </w:divBdr>
      <w:divsChild>
        <w:div w:id="934826546">
          <w:marLeft w:val="360"/>
          <w:marRight w:val="0"/>
          <w:marTop w:val="0"/>
          <w:marBottom w:val="0"/>
          <w:divBdr>
            <w:top w:val="none" w:sz="0" w:space="0" w:color="auto"/>
            <w:left w:val="none" w:sz="0" w:space="0" w:color="auto"/>
            <w:bottom w:val="none" w:sz="0" w:space="0" w:color="auto"/>
            <w:right w:val="none" w:sz="0" w:space="0" w:color="auto"/>
          </w:divBdr>
        </w:div>
        <w:div w:id="1896350605">
          <w:marLeft w:val="360"/>
          <w:marRight w:val="0"/>
          <w:marTop w:val="0"/>
          <w:marBottom w:val="0"/>
          <w:divBdr>
            <w:top w:val="none" w:sz="0" w:space="0" w:color="auto"/>
            <w:left w:val="none" w:sz="0" w:space="0" w:color="auto"/>
            <w:bottom w:val="none" w:sz="0" w:space="0" w:color="auto"/>
            <w:right w:val="none" w:sz="0" w:space="0" w:color="auto"/>
          </w:divBdr>
        </w:div>
        <w:div w:id="1188911800">
          <w:marLeft w:val="360"/>
          <w:marRight w:val="0"/>
          <w:marTop w:val="0"/>
          <w:marBottom w:val="0"/>
          <w:divBdr>
            <w:top w:val="none" w:sz="0" w:space="0" w:color="auto"/>
            <w:left w:val="none" w:sz="0" w:space="0" w:color="auto"/>
            <w:bottom w:val="none" w:sz="0" w:space="0" w:color="auto"/>
            <w:right w:val="none" w:sz="0" w:space="0" w:color="auto"/>
          </w:divBdr>
        </w:div>
        <w:div w:id="2020809685">
          <w:marLeft w:val="360"/>
          <w:marRight w:val="0"/>
          <w:marTop w:val="0"/>
          <w:marBottom w:val="0"/>
          <w:divBdr>
            <w:top w:val="none" w:sz="0" w:space="0" w:color="auto"/>
            <w:left w:val="none" w:sz="0" w:space="0" w:color="auto"/>
            <w:bottom w:val="none" w:sz="0" w:space="0" w:color="auto"/>
            <w:right w:val="none" w:sz="0" w:space="0" w:color="auto"/>
          </w:divBdr>
        </w:div>
      </w:divsChild>
    </w:div>
    <w:div w:id="1420708829">
      <w:bodyDiv w:val="1"/>
      <w:marLeft w:val="0"/>
      <w:marRight w:val="0"/>
      <w:marTop w:val="0"/>
      <w:marBottom w:val="0"/>
      <w:divBdr>
        <w:top w:val="none" w:sz="0" w:space="0" w:color="auto"/>
        <w:left w:val="none" w:sz="0" w:space="0" w:color="auto"/>
        <w:bottom w:val="none" w:sz="0" w:space="0" w:color="auto"/>
        <w:right w:val="none" w:sz="0" w:space="0" w:color="auto"/>
      </w:divBdr>
    </w:div>
    <w:div w:id="1734892155">
      <w:bodyDiv w:val="1"/>
      <w:marLeft w:val="0"/>
      <w:marRight w:val="0"/>
      <w:marTop w:val="0"/>
      <w:marBottom w:val="0"/>
      <w:divBdr>
        <w:top w:val="none" w:sz="0" w:space="0" w:color="auto"/>
        <w:left w:val="none" w:sz="0" w:space="0" w:color="auto"/>
        <w:bottom w:val="none" w:sz="0" w:space="0" w:color="auto"/>
        <w:right w:val="none" w:sz="0" w:space="0" w:color="auto"/>
      </w:divBdr>
    </w:div>
    <w:div w:id="1766417674">
      <w:bodyDiv w:val="1"/>
      <w:marLeft w:val="0"/>
      <w:marRight w:val="0"/>
      <w:marTop w:val="0"/>
      <w:marBottom w:val="0"/>
      <w:divBdr>
        <w:top w:val="none" w:sz="0" w:space="0" w:color="auto"/>
        <w:left w:val="none" w:sz="0" w:space="0" w:color="auto"/>
        <w:bottom w:val="none" w:sz="0" w:space="0" w:color="auto"/>
        <w:right w:val="none" w:sz="0" w:space="0" w:color="auto"/>
      </w:divBdr>
    </w:div>
    <w:div w:id="1873807379">
      <w:bodyDiv w:val="1"/>
      <w:marLeft w:val="0"/>
      <w:marRight w:val="0"/>
      <w:marTop w:val="0"/>
      <w:marBottom w:val="0"/>
      <w:divBdr>
        <w:top w:val="none" w:sz="0" w:space="0" w:color="auto"/>
        <w:left w:val="none" w:sz="0" w:space="0" w:color="auto"/>
        <w:bottom w:val="none" w:sz="0" w:space="0" w:color="auto"/>
        <w:right w:val="none" w:sz="0" w:space="0" w:color="auto"/>
      </w:divBdr>
    </w:div>
    <w:div w:id="1943952137">
      <w:bodyDiv w:val="1"/>
      <w:marLeft w:val="0"/>
      <w:marRight w:val="0"/>
      <w:marTop w:val="0"/>
      <w:marBottom w:val="0"/>
      <w:divBdr>
        <w:top w:val="none" w:sz="0" w:space="0" w:color="auto"/>
        <w:left w:val="none" w:sz="0" w:space="0" w:color="auto"/>
        <w:bottom w:val="none" w:sz="0" w:space="0" w:color="auto"/>
        <w:right w:val="none" w:sz="0" w:space="0" w:color="auto"/>
      </w:divBdr>
    </w:div>
    <w:div w:id="2013750743">
      <w:bodyDiv w:val="1"/>
      <w:marLeft w:val="0"/>
      <w:marRight w:val="0"/>
      <w:marTop w:val="0"/>
      <w:marBottom w:val="0"/>
      <w:divBdr>
        <w:top w:val="none" w:sz="0" w:space="0" w:color="auto"/>
        <w:left w:val="none" w:sz="0" w:space="0" w:color="auto"/>
        <w:bottom w:val="none" w:sz="0" w:space="0" w:color="auto"/>
        <w:right w:val="none" w:sz="0" w:space="0" w:color="auto"/>
      </w:divBdr>
    </w:div>
    <w:div w:id="2032485761">
      <w:bodyDiv w:val="1"/>
      <w:marLeft w:val="0"/>
      <w:marRight w:val="0"/>
      <w:marTop w:val="0"/>
      <w:marBottom w:val="0"/>
      <w:divBdr>
        <w:top w:val="none" w:sz="0" w:space="0" w:color="auto"/>
        <w:left w:val="none" w:sz="0" w:space="0" w:color="auto"/>
        <w:bottom w:val="none" w:sz="0" w:space="0" w:color="auto"/>
        <w:right w:val="none" w:sz="0" w:space="0" w:color="auto"/>
      </w:divBdr>
      <w:divsChild>
        <w:div w:id="44334739">
          <w:marLeft w:val="0"/>
          <w:marRight w:val="0"/>
          <w:marTop w:val="0"/>
          <w:marBottom w:val="0"/>
          <w:divBdr>
            <w:top w:val="none" w:sz="0" w:space="0" w:color="auto"/>
            <w:left w:val="none" w:sz="0" w:space="0" w:color="auto"/>
            <w:bottom w:val="none" w:sz="0" w:space="0" w:color="auto"/>
            <w:right w:val="none" w:sz="0" w:space="0" w:color="auto"/>
          </w:divBdr>
          <w:divsChild>
            <w:div w:id="64108037">
              <w:marLeft w:val="0"/>
              <w:marRight w:val="0"/>
              <w:marTop w:val="0"/>
              <w:marBottom w:val="0"/>
              <w:divBdr>
                <w:top w:val="none" w:sz="0" w:space="0" w:color="auto"/>
                <w:left w:val="none" w:sz="0" w:space="0" w:color="auto"/>
                <w:bottom w:val="none" w:sz="0" w:space="0" w:color="auto"/>
                <w:right w:val="none" w:sz="0" w:space="0" w:color="auto"/>
              </w:divBdr>
              <w:divsChild>
                <w:div w:id="226845102">
                  <w:marLeft w:val="0"/>
                  <w:marRight w:val="0"/>
                  <w:marTop w:val="0"/>
                  <w:marBottom w:val="0"/>
                  <w:divBdr>
                    <w:top w:val="none" w:sz="0" w:space="0" w:color="auto"/>
                    <w:left w:val="none" w:sz="0" w:space="0" w:color="auto"/>
                    <w:bottom w:val="none" w:sz="0" w:space="0" w:color="auto"/>
                    <w:right w:val="none" w:sz="0" w:space="0" w:color="auto"/>
                  </w:divBdr>
                  <w:divsChild>
                    <w:div w:id="1595481310">
                      <w:marLeft w:val="0"/>
                      <w:marRight w:val="0"/>
                      <w:marTop w:val="0"/>
                      <w:marBottom w:val="0"/>
                      <w:divBdr>
                        <w:top w:val="none" w:sz="0" w:space="0" w:color="auto"/>
                        <w:left w:val="none" w:sz="0" w:space="0" w:color="auto"/>
                        <w:bottom w:val="none" w:sz="0" w:space="0" w:color="auto"/>
                        <w:right w:val="none" w:sz="0" w:space="0" w:color="auto"/>
                      </w:divBdr>
                      <w:divsChild>
                        <w:div w:id="206183211">
                          <w:marLeft w:val="0"/>
                          <w:marRight w:val="-4320"/>
                          <w:marTop w:val="0"/>
                          <w:marBottom w:val="0"/>
                          <w:divBdr>
                            <w:top w:val="none" w:sz="0" w:space="0" w:color="auto"/>
                            <w:left w:val="none" w:sz="0" w:space="0" w:color="auto"/>
                            <w:bottom w:val="none" w:sz="0" w:space="0" w:color="auto"/>
                            <w:right w:val="single" w:sz="48" w:space="0" w:color="F2F2F2"/>
                          </w:divBdr>
                          <w:divsChild>
                            <w:div w:id="16203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97089">
      <w:bodyDiv w:val="1"/>
      <w:marLeft w:val="0"/>
      <w:marRight w:val="0"/>
      <w:marTop w:val="0"/>
      <w:marBottom w:val="0"/>
      <w:divBdr>
        <w:top w:val="none" w:sz="0" w:space="0" w:color="auto"/>
        <w:left w:val="none" w:sz="0" w:space="0" w:color="auto"/>
        <w:bottom w:val="none" w:sz="0" w:space="0" w:color="auto"/>
        <w:right w:val="none" w:sz="0" w:space="0" w:color="auto"/>
      </w:divBdr>
    </w:div>
    <w:div w:id="2118717675">
      <w:bodyDiv w:val="1"/>
      <w:marLeft w:val="0"/>
      <w:marRight w:val="0"/>
      <w:marTop w:val="0"/>
      <w:marBottom w:val="0"/>
      <w:divBdr>
        <w:top w:val="none" w:sz="0" w:space="0" w:color="auto"/>
        <w:left w:val="none" w:sz="0" w:space="0" w:color="auto"/>
        <w:bottom w:val="none" w:sz="0" w:space="0" w:color="auto"/>
        <w:right w:val="none" w:sz="0" w:space="0" w:color="auto"/>
      </w:divBdr>
    </w:div>
    <w:div w:id="2135442297">
      <w:bodyDiv w:val="1"/>
      <w:marLeft w:val="0"/>
      <w:marRight w:val="0"/>
      <w:marTop w:val="0"/>
      <w:marBottom w:val="0"/>
      <w:divBdr>
        <w:top w:val="none" w:sz="0" w:space="0" w:color="auto"/>
        <w:left w:val="none" w:sz="0" w:space="0" w:color="auto"/>
        <w:bottom w:val="none" w:sz="0" w:space="0" w:color="auto"/>
        <w:right w:val="none" w:sz="0" w:space="0" w:color="auto"/>
      </w:divBdr>
      <w:divsChild>
        <w:div w:id="926578126">
          <w:marLeft w:val="1166"/>
          <w:marRight w:val="0"/>
          <w:marTop w:val="125"/>
          <w:marBottom w:val="12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bphc.hrsa.gov/qualityimprovement/clinicalquality/accreditation-pcmh/index.html" TargetMode="External"/><Relationship Id="rId18" Type="http://schemas.openxmlformats.org/officeDocument/2006/relationships/hyperlink" Target="http://www.ncqa.org/Programs/Recognition/Practices/PatientCenteredMedicalHomePCMH.aspx" TargetMode="External"/><Relationship Id="rId26" Type="http://schemas.openxmlformats.org/officeDocument/2006/relationships/hyperlink" Target="mailto:pcmhsupplement@hrsa.gov" TargetMode="External"/><Relationship Id="rId3" Type="http://schemas.openxmlformats.org/officeDocument/2006/relationships/customXml" Target="../customXml/item3.xml"/><Relationship Id="rId21" Type="http://schemas.openxmlformats.org/officeDocument/2006/relationships/hyperlink" Target="http://www.health.state.mn.us/healthreform/homes/index.html"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cdc.org/performance-improvement/special-content/2014-pcmh-self-assessment-tool.html" TargetMode="External"/><Relationship Id="rId25" Type="http://schemas.openxmlformats.org/officeDocument/2006/relationships/hyperlink" Target="http://bphc.hrsa.gov/programopportunities/fundingopportunities/pcmh/index.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bphc.hrsa.gov/qualityimprovement/clinicalquality/accreditation-pcmh/pcmhrecognition.pdf" TargetMode="External"/><Relationship Id="rId20" Type="http://schemas.openxmlformats.org/officeDocument/2006/relationships/hyperlink" Target="http://www.jointcommission.org/accreditation/pchi.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hrsa.gov/about/contact/bphc.aspx"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hcp.hrsa.gov/pcmhnoi/NOI.aspx" TargetMode="External"/><Relationship Id="rId23" Type="http://schemas.openxmlformats.org/officeDocument/2006/relationships/hyperlink" Target="https://www.sam.gov/portal/SAM/"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aaahc.org/en/accreditation/FQCHC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phc.hrsa.gov/qualityimprovement/pdf/pal201502.pdf" TargetMode="External"/><Relationship Id="rId22" Type="http://schemas.openxmlformats.org/officeDocument/2006/relationships/hyperlink" Target="http://www.oregon.gov/oha/pcpch/Pages/index.aspx" TargetMode="External"/><Relationship Id="rId27" Type="http://schemas.openxmlformats.org/officeDocument/2006/relationships/hyperlink" Target="mailto:THatchett@hrsa.gov" TargetMode="External"/><Relationship Id="rId30" Type="http://schemas.openxmlformats.org/officeDocument/2006/relationships/hyperlink" Target="https://pcmh.ahrq.gov/page/defining-pcmh"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cfr.gov/cgi-bin/text-idx?node=pt45.1.75" TargetMode="External"/><Relationship Id="rId2" Type="http://schemas.openxmlformats.org/officeDocument/2006/relationships/hyperlink" Target="http://onc-chpl.force.com/ehrcert" TargetMode="External"/><Relationship Id="rId1" Type="http://schemas.openxmlformats.org/officeDocument/2006/relationships/hyperlink" Target="https://pcmh.ahrq.gov/page/defining-pcmh" TargetMode="External"/><Relationship Id="rId4" Type="http://schemas.openxmlformats.org/officeDocument/2006/relationships/hyperlink" Target="http://www.hhs.gov/sites/default/files/grants/grants/policies-regulations/hhsgps1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0" ma:contentTypeDescription="Create a new document." ma:contentTypeScope="" ma:versionID="67dfcaf8f86d7b9941c3353b2b450636">
  <xsd:schema xmlns:xsd="http://www.w3.org/2001/XMLSchema" xmlns:xs="http://www.w3.org/2001/XMLSchema" xmlns:p="http://schemas.microsoft.com/office/2006/metadata/properties" xmlns:ns2="053a5afd-1424-405b-82d9-63deec7446f8" targetNamespace="http://schemas.microsoft.com/office/2006/metadata/properties" ma:root="true" ma:fieldsID="d4a80a5bf31953297aae08a056ecc93a"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RZP75TDPC7SH-625-341</_dlc_DocId>
    <_dlc_DocIdUrl xmlns="053a5afd-1424-405b-82d9-63deec7446f8">
      <Url>https://sharepoint.hrsa.gov/sites/bphc/oppd/_layouts/DocIdRedir.aspx?ID=RZP75TDPC7SH-625-341</Url>
      <Description>RZP75TDPC7SH-625-341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D201-D7DF-44E8-8268-E66B061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B9623-ACEE-4C5E-8F0D-A9972493B99E}">
  <ds:schemaRefs>
    <ds:schemaRef ds:uri="http://schemas.microsoft.com/office/2006/metadata/properties"/>
    <ds:schemaRef ds:uri="http://schemas.microsoft.com/office/infopath/2007/PartnerControls"/>
    <ds:schemaRef ds:uri="053a5afd-1424-405b-82d9-63deec7446f8"/>
  </ds:schemaRefs>
</ds:datastoreItem>
</file>

<file path=customXml/itemProps3.xml><?xml version="1.0" encoding="utf-8"?>
<ds:datastoreItem xmlns:ds="http://schemas.openxmlformats.org/officeDocument/2006/customXml" ds:itemID="{634FA24E-34A3-4AE7-847B-516402BD6272}">
  <ds:schemaRefs>
    <ds:schemaRef ds:uri="http://schemas.microsoft.com/sharepoint/events"/>
  </ds:schemaRefs>
</ds:datastoreItem>
</file>

<file path=customXml/itemProps4.xml><?xml version="1.0" encoding="utf-8"?>
<ds:datastoreItem xmlns:ds="http://schemas.openxmlformats.org/officeDocument/2006/customXml" ds:itemID="{3E1FAC93-00DD-4C2A-A3CF-91249AB1FC02}">
  <ds:schemaRefs>
    <ds:schemaRef ds:uri="http://schemas.microsoft.com/sharepoint/v3/contenttype/forms"/>
  </ds:schemaRefs>
</ds:datastoreItem>
</file>

<file path=customXml/itemProps5.xml><?xml version="1.0" encoding="utf-8"?>
<ds:datastoreItem xmlns:ds="http://schemas.openxmlformats.org/officeDocument/2006/customXml" ds:itemID="{DD08DCD0-7B2C-4011-899A-F5774CE6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Funding Opportunity Announcement HRSA-16-183</vt:lpstr>
    </vt:vector>
  </TitlesOfParts>
  <Company>HRSA</Company>
  <LinksUpToDate>false</LinksUpToDate>
  <CharactersWithSpaces>24800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Opportunity Announcement HRSA-16-183</dc:title>
  <dc:creator>HRSA</dc:creator>
  <cp:lastModifiedBy>Sarah Costin</cp:lastModifiedBy>
  <cp:revision>10</cp:revision>
  <cp:lastPrinted>2016-05-02T15:17:00Z</cp:lastPrinted>
  <dcterms:created xsi:type="dcterms:W3CDTF">2016-05-02T15:07:00Z</dcterms:created>
  <dcterms:modified xsi:type="dcterms:W3CDTF">2016-05-02T15:34:00Z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4c9b10be-0ff2-43e9-abd6-b31b63cefd60</vt:lpwstr>
  </property>
  <property fmtid="{D5CDD505-2E9C-101B-9397-08002B2CF9AE}" pid="4" name="Order">
    <vt:r8>32700</vt:r8>
  </property>
</Properties>
</file>